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88E" w:rsidRPr="00A47E7E" w:rsidRDefault="0056188E">
      <w:pPr>
        <w:rPr>
          <w:rFonts w:ascii="Calibri" w:hAnsi="Calibri" w:cs="Calibri"/>
          <w:lang w:val="sr-Latn-CS"/>
        </w:rPr>
      </w:pPr>
    </w:p>
    <w:p w:rsidR="00B37944" w:rsidRPr="00A47E7E" w:rsidRDefault="00665200" w:rsidP="00405F4C">
      <w:pPr>
        <w:jc w:val="center"/>
        <w:rPr>
          <w:rFonts w:ascii="Calibri" w:hAnsi="Calibri" w:cs="Calibri"/>
          <w:b/>
          <w:lang w:val="sr-Latn-CS"/>
        </w:rPr>
      </w:pPr>
      <w:r>
        <w:rPr>
          <w:rFonts w:ascii="Calibri" w:hAnsi="Calibri" w:cs="Calibri"/>
          <w:b/>
          <w:lang w:val="sr-Latn-CS"/>
        </w:rPr>
        <w:t xml:space="preserve">OTVORENI </w:t>
      </w:r>
      <w:r w:rsidR="00405F4C">
        <w:rPr>
          <w:rFonts w:ascii="Calibri" w:hAnsi="Calibri" w:cs="Calibri"/>
          <w:b/>
          <w:lang w:val="sr-Latn-CS"/>
        </w:rPr>
        <w:t>NOVČANI</w:t>
      </w:r>
      <w:r w:rsidR="00F64D1D" w:rsidRPr="00A47E7E">
        <w:rPr>
          <w:rFonts w:ascii="Calibri" w:hAnsi="Calibri" w:cs="Calibri"/>
          <w:b/>
          <w:lang w:val="sr-Latn-CS"/>
        </w:rPr>
        <w:t xml:space="preserve"> INVESTICIONI FOND </w:t>
      </w:r>
      <w:r w:rsidR="00405F4C">
        <w:rPr>
          <w:rFonts w:ascii="Calibri" w:hAnsi="Calibri" w:cs="Calibri"/>
          <w:b/>
          <w:lang w:val="sr-Latn-CS"/>
        </w:rPr>
        <w:t>CASH</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405F4C">
        <w:rPr>
          <w:rFonts w:ascii="Calibri" w:hAnsi="Calibri" w:cs="Calibri"/>
          <w:b/>
          <w:lang w:val="sr-Latn-CS"/>
        </w:rPr>
        <w:t>ON</w:t>
      </w:r>
      <w:r w:rsidR="00007F24" w:rsidRPr="00A47E7E">
        <w:rPr>
          <w:rFonts w:ascii="Calibri" w:hAnsi="Calibri" w:cs="Calibri"/>
          <w:b/>
          <w:lang w:val="sr-Latn-CS"/>
        </w:rPr>
        <w:t>IF</w:t>
      </w:r>
      <w:r w:rsidRPr="00A47E7E">
        <w:rPr>
          <w:rFonts w:ascii="Calibri" w:hAnsi="Calibri" w:cs="Calibri"/>
          <w:b/>
          <w:lang w:val="sr-Latn-CS"/>
        </w:rPr>
        <w:t xml:space="preserve">-a </w:t>
      </w:r>
      <w:r w:rsidR="00405F4C">
        <w:rPr>
          <w:rFonts w:ascii="Calibri" w:hAnsi="Calibri" w:cs="Calibri"/>
          <w:b/>
          <w:lang w:val="sr-Latn-CS"/>
        </w:rPr>
        <w:t>Cash</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3908DF">
        <w:rPr>
          <w:rFonts w:ascii="Calibri" w:hAnsi="Calibri" w:cs="Calibri"/>
          <w:b/>
          <w:lang w:val="sr-Latn-CS"/>
        </w:rPr>
        <w:t>30</w:t>
      </w:r>
      <w:r w:rsidRPr="00A47E7E">
        <w:rPr>
          <w:rFonts w:ascii="Calibri" w:hAnsi="Calibri" w:cs="Calibri"/>
          <w:b/>
          <w:lang w:val="sr-Latn-CS"/>
        </w:rPr>
        <w:t>.</w:t>
      </w:r>
      <w:r w:rsidR="003908DF">
        <w:rPr>
          <w:rFonts w:ascii="Calibri" w:hAnsi="Calibri" w:cs="Calibri"/>
          <w:b/>
          <w:lang w:val="sr-Latn-CS"/>
        </w:rPr>
        <w:t>06</w:t>
      </w:r>
      <w:r w:rsidR="004B7276">
        <w:rPr>
          <w:rFonts w:ascii="Calibri" w:hAnsi="Calibri" w:cs="Calibri"/>
          <w:b/>
          <w:lang w:val="sr-Latn-CS"/>
        </w:rPr>
        <w:t>.2021</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3908DF">
        <w:rPr>
          <w:rFonts w:ascii="Calibri" w:hAnsi="Calibri" w:cs="Calibri"/>
          <w:lang w:val="sr-Latn-CS"/>
        </w:rPr>
        <w:t>jun</w:t>
      </w:r>
      <w:r w:rsidR="001D0767">
        <w:rPr>
          <w:rFonts w:ascii="Calibri" w:hAnsi="Calibri" w:cs="Calibri"/>
          <w:lang w:val="sr-Latn-CS"/>
        </w:rPr>
        <w:t xml:space="preserve"> </w:t>
      </w:r>
      <w:r w:rsidR="00E52588">
        <w:rPr>
          <w:rFonts w:ascii="Calibri" w:hAnsi="Calibri" w:cs="Calibri"/>
          <w:lang w:val="sr-Latn-CS"/>
        </w:rPr>
        <w:t xml:space="preserve"> 2021</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BA5E11" w:rsidRDefault="000C1413">
      <w:pPr>
        <w:pStyle w:val="TOC1"/>
        <w:rPr>
          <w:rFonts w:asciiTheme="minorHAnsi" w:eastAsiaTheme="minorEastAsia" w:hAnsiTheme="minorHAnsi" w:cstheme="minorBidi"/>
          <w:noProof/>
          <w:sz w:val="22"/>
          <w:szCs w:val="22"/>
        </w:rPr>
      </w:pPr>
      <w:r w:rsidRPr="00A47E7E">
        <w:lastRenderedPageBreak/>
        <w:fldChar w:fldCharType="begin"/>
      </w:r>
      <w:r w:rsidR="00B64A52" w:rsidRPr="00A47E7E">
        <w:instrText xml:space="preserve"> TOC \o "1-3" \h \z \u </w:instrText>
      </w:r>
      <w:r w:rsidRPr="00A47E7E">
        <w:fldChar w:fldCharType="separate"/>
      </w:r>
      <w:hyperlink w:anchor="_Toc64534427" w:history="1">
        <w:r w:rsidR="00BA5E11" w:rsidRPr="00464DAB">
          <w:rPr>
            <w:rStyle w:val="Hyperlink"/>
            <w:rFonts w:cs="Calibri"/>
            <w:noProof/>
            <w:lang w:val="sr-Cyrl-CS"/>
          </w:rPr>
          <w:t>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OSNIVANJE</w:t>
        </w:r>
        <w:r w:rsidR="00BA5E11" w:rsidRPr="00464DAB">
          <w:rPr>
            <w:rStyle w:val="Hyperlink"/>
            <w:rFonts w:ascii="Calibri" w:hAnsi="Calibri" w:cs="Calibri"/>
            <w:noProof/>
            <w:lang w:val="sr-Latn-CS"/>
          </w:rPr>
          <w:t xml:space="preserve"> I DJELATNOST</w:t>
        </w:r>
        <w:r w:rsidR="00BA5E11">
          <w:rPr>
            <w:noProof/>
            <w:webHidden/>
          </w:rPr>
          <w:tab/>
        </w:r>
        <w:r w:rsidR="00BA5E11">
          <w:rPr>
            <w:noProof/>
            <w:webHidden/>
          </w:rPr>
          <w:fldChar w:fldCharType="begin"/>
        </w:r>
        <w:r w:rsidR="00BA5E11">
          <w:rPr>
            <w:noProof/>
            <w:webHidden/>
          </w:rPr>
          <w:instrText xml:space="preserve"> PAGEREF _Toc64534427 \h </w:instrText>
        </w:r>
        <w:r w:rsidR="00BA5E11">
          <w:rPr>
            <w:noProof/>
            <w:webHidden/>
          </w:rPr>
        </w:r>
        <w:r w:rsidR="00BA5E11">
          <w:rPr>
            <w:noProof/>
            <w:webHidden/>
          </w:rPr>
          <w:fldChar w:fldCharType="separate"/>
        </w:r>
        <w:r w:rsidR="00BA5E11">
          <w:rPr>
            <w:noProof/>
            <w:webHidden/>
          </w:rPr>
          <w:t>3</w:t>
        </w:r>
        <w:r w:rsidR="00BA5E11">
          <w:rPr>
            <w:noProof/>
            <w:webHidden/>
          </w:rPr>
          <w:fldChar w:fldCharType="end"/>
        </w:r>
      </w:hyperlink>
    </w:p>
    <w:p w:rsidR="00BA5E11" w:rsidRDefault="00C96EC7" w:rsidP="00BA5E11">
      <w:pPr>
        <w:pStyle w:val="TOC1"/>
        <w:rPr>
          <w:rFonts w:asciiTheme="minorHAnsi" w:eastAsiaTheme="minorEastAsia" w:hAnsiTheme="minorHAnsi" w:cstheme="minorBidi"/>
          <w:noProof/>
          <w:sz w:val="22"/>
          <w:szCs w:val="22"/>
        </w:rPr>
      </w:pPr>
      <w:hyperlink w:anchor="_Toc64534428" w:history="1">
        <w:r w:rsidR="00BA5E11" w:rsidRPr="00464DAB">
          <w:rPr>
            <w:rStyle w:val="Hyperlink"/>
            <w:rFonts w:cs="Calibri"/>
            <w:noProof/>
            <w:lang w:val="sr-Latn-CS"/>
          </w:rPr>
          <w:t>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lang w:val="sr-Latn-CS"/>
          </w:rPr>
          <w:t>OSNOVE ZA SASTAVLJANJE I PREZENTACIJU FINANSIJSKIH IZVJEŠTAJA I RAČUNOVODSTVENI METOD</w:t>
        </w:r>
        <w:r w:rsidR="00BA5E11">
          <w:rPr>
            <w:noProof/>
            <w:webHidden/>
          </w:rPr>
          <w:tab/>
        </w:r>
        <w:r w:rsidR="00BA5E11">
          <w:rPr>
            <w:noProof/>
            <w:webHidden/>
          </w:rPr>
          <w:fldChar w:fldCharType="begin"/>
        </w:r>
        <w:r w:rsidR="00BA5E11">
          <w:rPr>
            <w:noProof/>
            <w:webHidden/>
          </w:rPr>
          <w:instrText xml:space="preserve"> PAGEREF _Toc64534428 \h </w:instrText>
        </w:r>
        <w:r w:rsidR="00BA5E11">
          <w:rPr>
            <w:noProof/>
            <w:webHidden/>
          </w:rPr>
        </w:r>
        <w:r w:rsidR="00BA5E11">
          <w:rPr>
            <w:noProof/>
            <w:webHidden/>
          </w:rPr>
          <w:fldChar w:fldCharType="separate"/>
        </w:r>
        <w:r w:rsidR="00BA5E11">
          <w:rPr>
            <w:noProof/>
            <w:webHidden/>
          </w:rPr>
          <w:t>3</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31" w:history="1">
        <w:r w:rsidR="00BA5E11">
          <w:rPr>
            <w:noProof/>
            <w:webHidden/>
          </w:rPr>
          <w:tab/>
        </w:r>
        <w:r w:rsidR="00BA5E11">
          <w:rPr>
            <w:noProof/>
            <w:webHidden/>
          </w:rPr>
          <w:fldChar w:fldCharType="begin"/>
        </w:r>
        <w:r w:rsidR="00BA5E11">
          <w:rPr>
            <w:noProof/>
            <w:webHidden/>
          </w:rPr>
          <w:instrText xml:space="preserve"> PAGEREF _Toc64534431 \h </w:instrText>
        </w:r>
        <w:r w:rsidR="00BA5E11">
          <w:rPr>
            <w:noProof/>
            <w:webHidden/>
          </w:rPr>
        </w:r>
        <w:r w:rsidR="00BA5E11">
          <w:rPr>
            <w:noProof/>
            <w:webHidden/>
          </w:rPr>
          <w:fldChar w:fldCharType="separate"/>
        </w:r>
        <w:r w:rsidR="00BA5E11">
          <w:rPr>
            <w:noProof/>
            <w:webHidden/>
          </w:rPr>
          <w:t>8</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32" w:history="1">
        <w:r w:rsidR="00BA5E11" w:rsidRPr="00464DAB">
          <w:rPr>
            <w:rStyle w:val="Hyperlink"/>
            <w:rFonts w:cs="Calibri"/>
            <w:noProof/>
          </w:rPr>
          <w:t>III.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PREGLED ZNAČAJNIH RAČUNOVODSTVENIH POLITIKA</w:t>
        </w:r>
        <w:r w:rsidR="00BA5E11">
          <w:rPr>
            <w:noProof/>
            <w:webHidden/>
          </w:rPr>
          <w:tab/>
        </w:r>
        <w:r w:rsidR="00BA5E11">
          <w:rPr>
            <w:noProof/>
            <w:webHidden/>
          </w:rPr>
          <w:fldChar w:fldCharType="begin"/>
        </w:r>
        <w:r w:rsidR="00BA5E11">
          <w:rPr>
            <w:noProof/>
            <w:webHidden/>
          </w:rPr>
          <w:instrText xml:space="preserve"> PAGEREF _Toc64534432 \h </w:instrText>
        </w:r>
        <w:r w:rsidR="00BA5E11">
          <w:rPr>
            <w:noProof/>
            <w:webHidden/>
          </w:rPr>
        </w:r>
        <w:r w:rsidR="00BA5E11">
          <w:rPr>
            <w:noProof/>
            <w:webHidden/>
          </w:rPr>
          <w:fldChar w:fldCharType="separate"/>
        </w:r>
        <w:r w:rsidR="00BA5E11">
          <w:rPr>
            <w:noProof/>
            <w:webHidden/>
          </w:rPr>
          <w:t>10</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33" w:history="1">
        <w:r w:rsidR="00BA5E11" w:rsidRPr="00464DAB">
          <w:rPr>
            <w:rStyle w:val="Hyperlink"/>
            <w:rFonts w:ascii="Calibri" w:hAnsi="Calibri" w:cs="Calibri"/>
            <w:noProof/>
          </w:rPr>
          <w:t>1.</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Poslovni prihodi</w:t>
        </w:r>
        <w:r w:rsidR="00BA5E11">
          <w:rPr>
            <w:noProof/>
            <w:webHidden/>
          </w:rPr>
          <w:tab/>
        </w:r>
        <w:r w:rsidR="00BA5E11">
          <w:rPr>
            <w:noProof/>
            <w:webHidden/>
          </w:rPr>
          <w:fldChar w:fldCharType="begin"/>
        </w:r>
        <w:r w:rsidR="00BA5E11">
          <w:rPr>
            <w:noProof/>
            <w:webHidden/>
          </w:rPr>
          <w:instrText xml:space="preserve"> PAGEREF _Toc64534433 \h </w:instrText>
        </w:r>
        <w:r w:rsidR="00BA5E11">
          <w:rPr>
            <w:noProof/>
            <w:webHidden/>
          </w:rPr>
        </w:r>
        <w:r w:rsidR="00BA5E11">
          <w:rPr>
            <w:noProof/>
            <w:webHidden/>
          </w:rPr>
          <w:fldChar w:fldCharType="separate"/>
        </w:r>
        <w:r w:rsidR="00BA5E11">
          <w:rPr>
            <w:noProof/>
            <w:webHidden/>
          </w:rPr>
          <w:t>10</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34" w:history="1">
        <w:r w:rsidR="00BA5E11" w:rsidRPr="00464DAB">
          <w:rPr>
            <w:rStyle w:val="Hyperlink"/>
            <w:rFonts w:ascii="Calibri" w:hAnsi="Calibri" w:cs="Calibri"/>
            <w:noProof/>
          </w:rPr>
          <w:t>2.</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Poslovni rashodi</w:t>
        </w:r>
        <w:r w:rsidR="00BA5E11">
          <w:rPr>
            <w:noProof/>
            <w:webHidden/>
          </w:rPr>
          <w:tab/>
        </w:r>
        <w:r w:rsidR="00BA5E11">
          <w:rPr>
            <w:noProof/>
            <w:webHidden/>
          </w:rPr>
          <w:fldChar w:fldCharType="begin"/>
        </w:r>
        <w:r w:rsidR="00BA5E11">
          <w:rPr>
            <w:noProof/>
            <w:webHidden/>
          </w:rPr>
          <w:instrText xml:space="preserve"> PAGEREF _Toc64534434 \h </w:instrText>
        </w:r>
        <w:r w:rsidR="00BA5E11">
          <w:rPr>
            <w:noProof/>
            <w:webHidden/>
          </w:rPr>
        </w:r>
        <w:r w:rsidR="00BA5E11">
          <w:rPr>
            <w:noProof/>
            <w:webHidden/>
          </w:rPr>
          <w:fldChar w:fldCharType="separate"/>
        </w:r>
        <w:r w:rsidR="00BA5E11">
          <w:rPr>
            <w:noProof/>
            <w:webHidden/>
          </w:rPr>
          <w:t>11</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35" w:history="1">
        <w:r w:rsidR="00BA5E11" w:rsidRPr="00464DAB">
          <w:rPr>
            <w:rStyle w:val="Hyperlink"/>
            <w:rFonts w:ascii="Calibri" w:hAnsi="Calibri" w:cs="Calibri"/>
            <w:noProof/>
          </w:rPr>
          <w:t>3.</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Ostali prihodi i rashodi</w:t>
        </w:r>
        <w:r w:rsidR="00BA5E11">
          <w:rPr>
            <w:noProof/>
            <w:webHidden/>
          </w:rPr>
          <w:tab/>
        </w:r>
        <w:r w:rsidR="00BA5E11">
          <w:rPr>
            <w:noProof/>
            <w:webHidden/>
          </w:rPr>
          <w:fldChar w:fldCharType="begin"/>
        </w:r>
        <w:r w:rsidR="00BA5E11">
          <w:rPr>
            <w:noProof/>
            <w:webHidden/>
          </w:rPr>
          <w:instrText xml:space="preserve"> PAGEREF _Toc64534435 \h </w:instrText>
        </w:r>
        <w:r w:rsidR="00BA5E11">
          <w:rPr>
            <w:noProof/>
            <w:webHidden/>
          </w:rPr>
        </w:r>
        <w:r w:rsidR="00BA5E11">
          <w:rPr>
            <w:noProof/>
            <w:webHidden/>
          </w:rPr>
          <w:fldChar w:fldCharType="separate"/>
        </w:r>
        <w:r w:rsidR="00BA5E11">
          <w:rPr>
            <w:noProof/>
            <w:webHidden/>
          </w:rPr>
          <w:t>11</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36" w:history="1">
        <w:r w:rsidR="00BA5E11" w:rsidRPr="00464DAB">
          <w:rPr>
            <w:rStyle w:val="Hyperlink"/>
            <w:rFonts w:ascii="Calibri" w:hAnsi="Calibri" w:cs="Calibri"/>
            <w:noProof/>
          </w:rPr>
          <w:t>4.</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Finansijska imovina</w:t>
        </w:r>
        <w:r w:rsidR="00BA5E11">
          <w:rPr>
            <w:noProof/>
            <w:webHidden/>
          </w:rPr>
          <w:tab/>
        </w:r>
        <w:r w:rsidR="00BA5E11">
          <w:rPr>
            <w:noProof/>
            <w:webHidden/>
          </w:rPr>
          <w:fldChar w:fldCharType="begin"/>
        </w:r>
        <w:r w:rsidR="00BA5E11">
          <w:rPr>
            <w:noProof/>
            <w:webHidden/>
          </w:rPr>
          <w:instrText xml:space="preserve"> PAGEREF _Toc64534436 \h </w:instrText>
        </w:r>
        <w:r w:rsidR="00BA5E11">
          <w:rPr>
            <w:noProof/>
            <w:webHidden/>
          </w:rPr>
        </w:r>
        <w:r w:rsidR="00BA5E11">
          <w:rPr>
            <w:noProof/>
            <w:webHidden/>
          </w:rPr>
          <w:fldChar w:fldCharType="separate"/>
        </w:r>
        <w:r w:rsidR="00BA5E11">
          <w:rPr>
            <w:noProof/>
            <w:webHidden/>
          </w:rPr>
          <w:t>12</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37" w:history="1">
        <w:r w:rsidR="00BA5E11" w:rsidRPr="00464DAB">
          <w:rPr>
            <w:rStyle w:val="Hyperlink"/>
            <w:rFonts w:ascii="Calibri" w:hAnsi="Calibri" w:cs="Calibri"/>
            <w:noProof/>
          </w:rPr>
          <w:t>5.</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Nerealizovani dobici i gubici po osnovu promjene fer vrijednosti ulaganja</w:t>
        </w:r>
        <w:r w:rsidR="00BA5E11">
          <w:rPr>
            <w:noProof/>
            <w:webHidden/>
          </w:rPr>
          <w:tab/>
        </w:r>
        <w:r w:rsidR="00BA5E11">
          <w:rPr>
            <w:noProof/>
            <w:webHidden/>
          </w:rPr>
          <w:fldChar w:fldCharType="begin"/>
        </w:r>
        <w:r w:rsidR="00BA5E11">
          <w:rPr>
            <w:noProof/>
            <w:webHidden/>
          </w:rPr>
          <w:instrText xml:space="preserve"> PAGEREF _Toc64534437 \h </w:instrText>
        </w:r>
        <w:r w:rsidR="00BA5E11">
          <w:rPr>
            <w:noProof/>
            <w:webHidden/>
          </w:rPr>
        </w:r>
        <w:r w:rsidR="00BA5E11">
          <w:rPr>
            <w:noProof/>
            <w:webHidden/>
          </w:rPr>
          <w:fldChar w:fldCharType="separate"/>
        </w:r>
        <w:r w:rsidR="00BA5E11">
          <w:rPr>
            <w:noProof/>
            <w:webHidden/>
          </w:rPr>
          <w:t>15</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38" w:history="1">
        <w:r w:rsidR="00BA5E11" w:rsidRPr="00464DAB">
          <w:rPr>
            <w:rStyle w:val="Hyperlink"/>
            <w:rFonts w:ascii="Calibri" w:hAnsi="Calibri" w:cs="Calibri"/>
            <w:noProof/>
          </w:rPr>
          <w:t>6.</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Realizovani dobici i gubici po osnovu prodaje hartija od vrijednosti</w:t>
        </w:r>
        <w:r w:rsidR="00BA5E11">
          <w:rPr>
            <w:noProof/>
            <w:webHidden/>
          </w:rPr>
          <w:tab/>
        </w:r>
        <w:r w:rsidR="00BA5E11">
          <w:rPr>
            <w:noProof/>
            <w:webHidden/>
          </w:rPr>
          <w:fldChar w:fldCharType="begin"/>
        </w:r>
        <w:r w:rsidR="00BA5E11">
          <w:rPr>
            <w:noProof/>
            <w:webHidden/>
          </w:rPr>
          <w:instrText xml:space="preserve"> PAGEREF _Toc64534438 \h </w:instrText>
        </w:r>
        <w:r w:rsidR="00BA5E11">
          <w:rPr>
            <w:noProof/>
            <w:webHidden/>
          </w:rPr>
        </w:r>
        <w:r w:rsidR="00BA5E11">
          <w:rPr>
            <w:noProof/>
            <w:webHidden/>
          </w:rPr>
          <w:fldChar w:fldCharType="separate"/>
        </w:r>
        <w:r w:rsidR="00BA5E11">
          <w:rPr>
            <w:noProof/>
            <w:webHidden/>
          </w:rPr>
          <w:t>16</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39" w:history="1">
        <w:r w:rsidR="00BA5E11" w:rsidRPr="00464DAB">
          <w:rPr>
            <w:rStyle w:val="Hyperlink"/>
            <w:rFonts w:ascii="Calibri" w:hAnsi="Calibri" w:cs="Calibri"/>
            <w:noProof/>
          </w:rPr>
          <w:t>7.</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Utvrđivanje neto vrijednosti imovine fonda</w:t>
        </w:r>
        <w:r w:rsidR="00BA5E11">
          <w:rPr>
            <w:noProof/>
            <w:webHidden/>
          </w:rPr>
          <w:tab/>
        </w:r>
        <w:r w:rsidR="00BA5E11">
          <w:rPr>
            <w:noProof/>
            <w:webHidden/>
          </w:rPr>
          <w:fldChar w:fldCharType="begin"/>
        </w:r>
        <w:r w:rsidR="00BA5E11">
          <w:rPr>
            <w:noProof/>
            <w:webHidden/>
          </w:rPr>
          <w:instrText xml:space="preserve"> PAGEREF _Toc64534439 \h </w:instrText>
        </w:r>
        <w:r w:rsidR="00BA5E11">
          <w:rPr>
            <w:noProof/>
            <w:webHidden/>
          </w:rPr>
        </w:r>
        <w:r w:rsidR="00BA5E11">
          <w:rPr>
            <w:noProof/>
            <w:webHidden/>
          </w:rPr>
          <w:fldChar w:fldCharType="separate"/>
        </w:r>
        <w:r w:rsidR="00BA5E11">
          <w:rPr>
            <w:noProof/>
            <w:webHidden/>
          </w:rPr>
          <w:t>16</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40" w:history="1">
        <w:r w:rsidR="00BA5E11" w:rsidRPr="00464DAB">
          <w:rPr>
            <w:rStyle w:val="Hyperlink"/>
            <w:rFonts w:ascii="Calibri" w:hAnsi="Calibri" w:cs="Calibri"/>
            <w:noProof/>
          </w:rPr>
          <w:t>8.</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Gotovine i gotovinski ekvivalenti</w:t>
        </w:r>
        <w:r w:rsidR="00BA5E11">
          <w:rPr>
            <w:noProof/>
            <w:webHidden/>
          </w:rPr>
          <w:tab/>
        </w:r>
        <w:r w:rsidR="00BA5E11">
          <w:rPr>
            <w:noProof/>
            <w:webHidden/>
          </w:rPr>
          <w:fldChar w:fldCharType="begin"/>
        </w:r>
        <w:r w:rsidR="00BA5E11">
          <w:rPr>
            <w:noProof/>
            <w:webHidden/>
          </w:rPr>
          <w:instrText xml:space="preserve"> PAGEREF _Toc64534440 \h </w:instrText>
        </w:r>
        <w:r w:rsidR="00BA5E11">
          <w:rPr>
            <w:noProof/>
            <w:webHidden/>
          </w:rPr>
        </w:r>
        <w:r w:rsidR="00BA5E11">
          <w:rPr>
            <w:noProof/>
            <w:webHidden/>
          </w:rPr>
          <w:fldChar w:fldCharType="separate"/>
        </w:r>
        <w:r w:rsidR="00BA5E11">
          <w:rPr>
            <w:noProof/>
            <w:webHidden/>
          </w:rPr>
          <w:t>16</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41" w:history="1">
        <w:r w:rsidR="00BA5E11" w:rsidRPr="00464DAB">
          <w:rPr>
            <w:rStyle w:val="Hyperlink"/>
            <w:rFonts w:ascii="Calibri" w:hAnsi="Calibri" w:cs="Calibri"/>
            <w:noProof/>
          </w:rPr>
          <w:t>9.</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Porezi i dopirnosi iz rezultata</w:t>
        </w:r>
        <w:r w:rsidR="00BA5E11">
          <w:rPr>
            <w:noProof/>
            <w:webHidden/>
          </w:rPr>
          <w:tab/>
        </w:r>
        <w:r w:rsidR="00BA5E11">
          <w:rPr>
            <w:noProof/>
            <w:webHidden/>
          </w:rPr>
          <w:fldChar w:fldCharType="begin"/>
        </w:r>
        <w:r w:rsidR="00BA5E11">
          <w:rPr>
            <w:noProof/>
            <w:webHidden/>
          </w:rPr>
          <w:instrText xml:space="preserve"> PAGEREF _Toc64534441 \h </w:instrText>
        </w:r>
        <w:r w:rsidR="00BA5E11">
          <w:rPr>
            <w:noProof/>
            <w:webHidden/>
          </w:rPr>
        </w:r>
        <w:r w:rsidR="00BA5E11">
          <w:rPr>
            <w:noProof/>
            <w:webHidden/>
          </w:rPr>
          <w:fldChar w:fldCharType="separate"/>
        </w:r>
        <w:r w:rsidR="00BA5E11">
          <w:rPr>
            <w:noProof/>
            <w:webHidden/>
          </w:rPr>
          <w:t>16</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42" w:history="1">
        <w:r w:rsidR="00BA5E11" w:rsidRPr="00464DAB">
          <w:rPr>
            <w:rStyle w:val="Hyperlink"/>
            <w:rFonts w:ascii="Calibri" w:hAnsi="Calibri" w:cs="Calibri"/>
            <w:noProof/>
          </w:rPr>
          <w:t>10.</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Povezana pravna i fizička lica</w:t>
        </w:r>
        <w:r w:rsidR="00BA5E11">
          <w:rPr>
            <w:noProof/>
            <w:webHidden/>
          </w:rPr>
          <w:tab/>
        </w:r>
        <w:r w:rsidR="00BA5E11">
          <w:rPr>
            <w:noProof/>
            <w:webHidden/>
          </w:rPr>
          <w:fldChar w:fldCharType="begin"/>
        </w:r>
        <w:r w:rsidR="00BA5E11">
          <w:rPr>
            <w:noProof/>
            <w:webHidden/>
          </w:rPr>
          <w:instrText xml:space="preserve"> PAGEREF _Toc64534442 \h </w:instrText>
        </w:r>
        <w:r w:rsidR="00BA5E11">
          <w:rPr>
            <w:noProof/>
            <w:webHidden/>
          </w:rPr>
        </w:r>
        <w:r w:rsidR="00BA5E11">
          <w:rPr>
            <w:noProof/>
            <w:webHidden/>
          </w:rPr>
          <w:fldChar w:fldCharType="separate"/>
        </w:r>
        <w:r w:rsidR="00BA5E11">
          <w:rPr>
            <w:noProof/>
            <w:webHidden/>
          </w:rPr>
          <w:t>17</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43" w:history="1">
        <w:r w:rsidR="00BA5E11" w:rsidRPr="00464DAB">
          <w:rPr>
            <w:rStyle w:val="Hyperlink"/>
            <w:rFonts w:cs="Calibri"/>
            <w:noProof/>
          </w:rPr>
          <w:t>IV.</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ZNAČAJNE RAČUNOVODSTVENE PROCJENE</w:t>
        </w:r>
        <w:r w:rsidR="00BA5E11">
          <w:rPr>
            <w:noProof/>
            <w:webHidden/>
          </w:rPr>
          <w:tab/>
        </w:r>
        <w:r w:rsidR="00BA5E11">
          <w:rPr>
            <w:noProof/>
            <w:webHidden/>
          </w:rPr>
          <w:fldChar w:fldCharType="begin"/>
        </w:r>
        <w:r w:rsidR="00BA5E11">
          <w:rPr>
            <w:noProof/>
            <w:webHidden/>
          </w:rPr>
          <w:instrText xml:space="preserve"> PAGEREF _Toc64534443 \h </w:instrText>
        </w:r>
        <w:r w:rsidR="00BA5E11">
          <w:rPr>
            <w:noProof/>
            <w:webHidden/>
          </w:rPr>
        </w:r>
        <w:r w:rsidR="00BA5E11">
          <w:rPr>
            <w:noProof/>
            <w:webHidden/>
          </w:rPr>
          <w:fldChar w:fldCharType="separate"/>
        </w:r>
        <w:r w:rsidR="00BA5E11">
          <w:rPr>
            <w:noProof/>
            <w:webHidden/>
          </w:rPr>
          <w:t>18</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44" w:history="1">
        <w:r w:rsidR="00BA5E11" w:rsidRPr="00464DAB">
          <w:rPr>
            <w:rStyle w:val="Hyperlink"/>
            <w:rFonts w:cs="Calibri"/>
            <w:noProof/>
          </w:rPr>
          <w:t>V.</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PRIHODI OD DIVIDENDI</w:t>
        </w:r>
        <w:r w:rsidR="00BA5E11">
          <w:rPr>
            <w:noProof/>
            <w:webHidden/>
          </w:rPr>
          <w:tab/>
        </w:r>
        <w:r w:rsidR="00BA5E11">
          <w:rPr>
            <w:noProof/>
            <w:webHidden/>
          </w:rPr>
          <w:fldChar w:fldCharType="begin"/>
        </w:r>
        <w:r w:rsidR="00BA5E11">
          <w:rPr>
            <w:noProof/>
            <w:webHidden/>
          </w:rPr>
          <w:instrText xml:space="preserve"> PAGEREF _Toc64534444 \h </w:instrText>
        </w:r>
        <w:r w:rsidR="00BA5E11">
          <w:rPr>
            <w:noProof/>
            <w:webHidden/>
          </w:rPr>
        </w:r>
        <w:r w:rsidR="00BA5E11">
          <w:rPr>
            <w:noProof/>
            <w:webHidden/>
          </w:rPr>
          <w:fldChar w:fldCharType="separate"/>
        </w:r>
        <w:r w:rsidR="00BA5E11">
          <w:rPr>
            <w:noProof/>
            <w:webHidden/>
          </w:rPr>
          <w:t>19</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45" w:history="1">
        <w:r w:rsidR="00BA5E11" w:rsidRPr="00464DAB">
          <w:rPr>
            <w:rStyle w:val="Hyperlink"/>
            <w:rFonts w:cs="Calibri"/>
            <w:noProof/>
          </w:rPr>
          <w:t>VI.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PRIHODI OD KAMATA I AMORTIZACIJA PREMIJE (DISKONTA) PO OSNOVU HOV SA FIKSNIM ROKOM DOSPJEĆA</w:t>
        </w:r>
        <w:r w:rsidR="00BA5E11">
          <w:rPr>
            <w:noProof/>
            <w:webHidden/>
          </w:rPr>
          <w:tab/>
        </w:r>
        <w:r w:rsidR="00BA5E11">
          <w:rPr>
            <w:noProof/>
            <w:webHidden/>
          </w:rPr>
          <w:fldChar w:fldCharType="begin"/>
        </w:r>
        <w:r w:rsidR="00BA5E11">
          <w:rPr>
            <w:noProof/>
            <w:webHidden/>
          </w:rPr>
          <w:instrText xml:space="preserve"> PAGEREF _Toc64534445 \h </w:instrText>
        </w:r>
        <w:r w:rsidR="00BA5E11">
          <w:rPr>
            <w:noProof/>
            <w:webHidden/>
          </w:rPr>
        </w:r>
        <w:r w:rsidR="00BA5E11">
          <w:rPr>
            <w:noProof/>
            <w:webHidden/>
          </w:rPr>
          <w:fldChar w:fldCharType="separate"/>
        </w:r>
        <w:r w:rsidR="00BA5E11">
          <w:rPr>
            <w:noProof/>
            <w:webHidden/>
          </w:rPr>
          <w:t>19</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46" w:history="1">
        <w:r w:rsidR="00BA5E11" w:rsidRPr="00464DAB">
          <w:rPr>
            <w:rStyle w:val="Hyperlink"/>
            <w:rFonts w:cs="Calibri"/>
            <w:noProof/>
          </w:rPr>
          <w:t>VII.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REALIZOVANI DOBICI I GUBICI OD ULAGANJA</w:t>
        </w:r>
        <w:r w:rsidR="00BA5E11">
          <w:rPr>
            <w:noProof/>
            <w:webHidden/>
          </w:rPr>
          <w:tab/>
        </w:r>
        <w:r w:rsidR="00BA5E11">
          <w:rPr>
            <w:noProof/>
            <w:webHidden/>
          </w:rPr>
          <w:fldChar w:fldCharType="begin"/>
        </w:r>
        <w:r w:rsidR="00BA5E11">
          <w:rPr>
            <w:noProof/>
            <w:webHidden/>
          </w:rPr>
          <w:instrText xml:space="preserve"> PAGEREF _Toc64534446 \h </w:instrText>
        </w:r>
        <w:r w:rsidR="00BA5E11">
          <w:rPr>
            <w:noProof/>
            <w:webHidden/>
          </w:rPr>
        </w:r>
        <w:r w:rsidR="00BA5E11">
          <w:rPr>
            <w:noProof/>
            <w:webHidden/>
          </w:rPr>
          <w:fldChar w:fldCharType="separate"/>
        </w:r>
        <w:r w:rsidR="00BA5E11">
          <w:rPr>
            <w:noProof/>
            <w:webHidden/>
          </w:rPr>
          <w:t>20</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47" w:history="1">
        <w:r w:rsidR="00BA5E11" w:rsidRPr="00464DAB">
          <w:rPr>
            <w:rStyle w:val="Hyperlink"/>
            <w:rFonts w:cs="Calibri"/>
            <w:noProof/>
          </w:rPr>
          <w:t>VIII.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NAKNADA DRUŠTVU ZA  UPRAVLJANJE</w:t>
        </w:r>
        <w:r w:rsidR="00BA5E11">
          <w:rPr>
            <w:noProof/>
            <w:webHidden/>
          </w:rPr>
          <w:tab/>
        </w:r>
        <w:r w:rsidR="00BA5E11">
          <w:rPr>
            <w:noProof/>
            <w:webHidden/>
          </w:rPr>
          <w:fldChar w:fldCharType="begin"/>
        </w:r>
        <w:r w:rsidR="00BA5E11">
          <w:rPr>
            <w:noProof/>
            <w:webHidden/>
          </w:rPr>
          <w:instrText xml:space="preserve"> PAGEREF _Toc64534447 \h </w:instrText>
        </w:r>
        <w:r w:rsidR="00BA5E11">
          <w:rPr>
            <w:noProof/>
            <w:webHidden/>
          </w:rPr>
        </w:r>
        <w:r w:rsidR="00BA5E11">
          <w:rPr>
            <w:noProof/>
            <w:webHidden/>
          </w:rPr>
          <w:fldChar w:fldCharType="separate"/>
        </w:r>
        <w:r w:rsidR="00BA5E11">
          <w:rPr>
            <w:noProof/>
            <w:webHidden/>
          </w:rPr>
          <w:t>20</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48" w:history="1">
        <w:r w:rsidR="00BA5E11" w:rsidRPr="00464DAB">
          <w:rPr>
            <w:rStyle w:val="Hyperlink"/>
            <w:rFonts w:cs="Calibri"/>
            <w:noProof/>
          </w:rPr>
          <w:t>IX.</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NAKNADA DEPOZITARU</w:t>
        </w:r>
        <w:r w:rsidR="00BA5E11">
          <w:rPr>
            <w:noProof/>
            <w:webHidden/>
          </w:rPr>
          <w:tab/>
        </w:r>
        <w:r w:rsidR="00BA5E11">
          <w:rPr>
            <w:noProof/>
            <w:webHidden/>
          </w:rPr>
          <w:fldChar w:fldCharType="begin"/>
        </w:r>
        <w:r w:rsidR="00BA5E11">
          <w:rPr>
            <w:noProof/>
            <w:webHidden/>
          </w:rPr>
          <w:instrText xml:space="preserve"> PAGEREF _Toc64534448 \h </w:instrText>
        </w:r>
        <w:r w:rsidR="00BA5E11">
          <w:rPr>
            <w:noProof/>
            <w:webHidden/>
          </w:rPr>
        </w:r>
        <w:r w:rsidR="00BA5E11">
          <w:rPr>
            <w:noProof/>
            <w:webHidden/>
          </w:rPr>
          <w:fldChar w:fldCharType="separate"/>
        </w:r>
        <w:r w:rsidR="00BA5E11">
          <w:rPr>
            <w:noProof/>
            <w:webHidden/>
          </w:rPr>
          <w:t>20</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49" w:history="1">
        <w:r w:rsidR="00BA5E11" w:rsidRPr="00464DAB">
          <w:rPr>
            <w:rStyle w:val="Hyperlink"/>
            <w:rFonts w:cs="Calibri"/>
            <w:noProof/>
            <w:lang w:val="sr-Latn-CS"/>
          </w:rPr>
          <w:t>X.</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lang w:val="sr-Latn-CS"/>
          </w:rPr>
          <w:t>OSTALI POSLOVNI RASHODI FONDA</w:t>
        </w:r>
        <w:r w:rsidR="00BA5E11">
          <w:rPr>
            <w:noProof/>
            <w:webHidden/>
          </w:rPr>
          <w:tab/>
        </w:r>
        <w:r w:rsidR="00BA5E11">
          <w:rPr>
            <w:noProof/>
            <w:webHidden/>
          </w:rPr>
          <w:fldChar w:fldCharType="begin"/>
        </w:r>
        <w:r w:rsidR="00BA5E11">
          <w:rPr>
            <w:noProof/>
            <w:webHidden/>
          </w:rPr>
          <w:instrText xml:space="preserve"> PAGEREF _Toc64534449 \h </w:instrText>
        </w:r>
        <w:r w:rsidR="00BA5E11">
          <w:rPr>
            <w:noProof/>
            <w:webHidden/>
          </w:rPr>
        </w:r>
        <w:r w:rsidR="00BA5E11">
          <w:rPr>
            <w:noProof/>
            <w:webHidden/>
          </w:rPr>
          <w:fldChar w:fldCharType="separate"/>
        </w:r>
        <w:r w:rsidR="00BA5E11">
          <w:rPr>
            <w:noProof/>
            <w:webHidden/>
          </w:rPr>
          <w:t>20</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50" w:history="1">
        <w:r w:rsidR="00BA5E11" w:rsidRPr="00464DAB">
          <w:rPr>
            <w:rStyle w:val="Hyperlink"/>
            <w:rFonts w:cs="Calibri"/>
            <w:noProof/>
          </w:rPr>
          <w:t>XI.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POREZ NA DOBITAK</w:t>
        </w:r>
        <w:r w:rsidR="00BA5E11">
          <w:rPr>
            <w:noProof/>
            <w:webHidden/>
          </w:rPr>
          <w:tab/>
        </w:r>
        <w:r w:rsidR="00BA5E11">
          <w:rPr>
            <w:noProof/>
            <w:webHidden/>
          </w:rPr>
          <w:fldChar w:fldCharType="begin"/>
        </w:r>
        <w:r w:rsidR="00BA5E11">
          <w:rPr>
            <w:noProof/>
            <w:webHidden/>
          </w:rPr>
          <w:instrText xml:space="preserve"> PAGEREF _Toc64534450 \h </w:instrText>
        </w:r>
        <w:r w:rsidR="00BA5E11">
          <w:rPr>
            <w:noProof/>
            <w:webHidden/>
          </w:rPr>
        </w:r>
        <w:r w:rsidR="00BA5E11">
          <w:rPr>
            <w:noProof/>
            <w:webHidden/>
          </w:rPr>
          <w:fldChar w:fldCharType="separate"/>
        </w:r>
        <w:r w:rsidR="00BA5E11">
          <w:rPr>
            <w:noProof/>
            <w:webHidden/>
          </w:rPr>
          <w:t>21</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51" w:history="1">
        <w:r w:rsidR="00BA5E11" w:rsidRPr="00464DAB">
          <w:rPr>
            <w:rStyle w:val="Hyperlink"/>
            <w:rFonts w:cs="Calibri"/>
            <w:noProof/>
          </w:rPr>
          <w:t>XII.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GOTOVINA</w:t>
        </w:r>
        <w:r w:rsidR="00BA5E11">
          <w:rPr>
            <w:noProof/>
            <w:webHidden/>
          </w:rPr>
          <w:tab/>
        </w:r>
        <w:r w:rsidR="00BA5E11">
          <w:rPr>
            <w:noProof/>
            <w:webHidden/>
          </w:rPr>
          <w:fldChar w:fldCharType="begin"/>
        </w:r>
        <w:r w:rsidR="00BA5E11">
          <w:rPr>
            <w:noProof/>
            <w:webHidden/>
          </w:rPr>
          <w:instrText xml:space="preserve"> PAGEREF _Toc64534451 \h </w:instrText>
        </w:r>
        <w:r w:rsidR="00BA5E11">
          <w:rPr>
            <w:noProof/>
            <w:webHidden/>
          </w:rPr>
        </w:r>
        <w:r w:rsidR="00BA5E11">
          <w:rPr>
            <w:noProof/>
            <w:webHidden/>
          </w:rPr>
          <w:fldChar w:fldCharType="separate"/>
        </w:r>
        <w:r w:rsidR="00BA5E11">
          <w:rPr>
            <w:noProof/>
            <w:webHidden/>
          </w:rPr>
          <w:t>21</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52" w:history="1">
        <w:r w:rsidR="00BA5E11" w:rsidRPr="00464DAB">
          <w:rPr>
            <w:rStyle w:val="Hyperlink"/>
            <w:rFonts w:cs="Calibri"/>
            <w:noProof/>
          </w:rPr>
          <w:t>XIII.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ULAGANJA FONDA U FINANSIJSKA SREDSTVA</w:t>
        </w:r>
        <w:r w:rsidR="00BA5E11">
          <w:rPr>
            <w:noProof/>
            <w:webHidden/>
          </w:rPr>
          <w:tab/>
        </w:r>
        <w:r w:rsidR="00BA5E11">
          <w:rPr>
            <w:noProof/>
            <w:webHidden/>
          </w:rPr>
          <w:fldChar w:fldCharType="begin"/>
        </w:r>
        <w:r w:rsidR="00BA5E11">
          <w:rPr>
            <w:noProof/>
            <w:webHidden/>
          </w:rPr>
          <w:instrText xml:space="preserve"> PAGEREF _Toc64534452 \h </w:instrText>
        </w:r>
        <w:r w:rsidR="00BA5E11">
          <w:rPr>
            <w:noProof/>
            <w:webHidden/>
          </w:rPr>
        </w:r>
        <w:r w:rsidR="00BA5E11">
          <w:rPr>
            <w:noProof/>
            <w:webHidden/>
          </w:rPr>
          <w:fldChar w:fldCharType="separate"/>
        </w:r>
        <w:r w:rsidR="00BA5E11">
          <w:rPr>
            <w:noProof/>
            <w:webHidden/>
          </w:rPr>
          <w:t>21</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53" w:history="1">
        <w:r w:rsidR="00BA5E11" w:rsidRPr="00464DAB">
          <w:rPr>
            <w:rStyle w:val="Hyperlink"/>
            <w:rFonts w:cs="Calibri"/>
            <w:noProof/>
          </w:rPr>
          <w:t>XIV.</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DEPOZITI I PLASMANI</w:t>
        </w:r>
        <w:r w:rsidR="00BA5E11">
          <w:rPr>
            <w:noProof/>
            <w:webHidden/>
          </w:rPr>
          <w:tab/>
        </w:r>
        <w:r w:rsidR="00BA5E11">
          <w:rPr>
            <w:noProof/>
            <w:webHidden/>
          </w:rPr>
          <w:fldChar w:fldCharType="begin"/>
        </w:r>
        <w:r w:rsidR="00BA5E11">
          <w:rPr>
            <w:noProof/>
            <w:webHidden/>
          </w:rPr>
          <w:instrText xml:space="preserve"> PAGEREF _Toc64534453 \h </w:instrText>
        </w:r>
        <w:r w:rsidR="00BA5E11">
          <w:rPr>
            <w:noProof/>
            <w:webHidden/>
          </w:rPr>
        </w:r>
        <w:r w:rsidR="00BA5E11">
          <w:rPr>
            <w:noProof/>
            <w:webHidden/>
          </w:rPr>
          <w:fldChar w:fldCharType="separate"/>
        </w:r>
        <w:r w:rsidR="00BA5E11">
          <w:rPr>
            <w:noProof/>
            <w:webHidden/>
          </w:rPr>
          <w:t>22</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54" w:history="1">
        <w:r w:rsidR="00BA5E11" w:rsidRPr="00464DAB">
          <w:rPr>
            <w:rStyle w:val="Hyperlink"/>
            <w:rFonts w:cs="Calibri"/>
            <w:noProof/>
          </w:rPr>
          <w:t>XV.</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POTRAŽIVANJA PO OSNOVU DIVIDENDI I KAMATA</w:t>
        </w:r>
        <w:r w:rsidR="00BA5E11">
          <w:rPr>
            <w:noProof/>
            <w:webHidden/>
          </w:rPr>
          <w:tab/>
        </w:r>
        <w:r w:rsidR="00BA5E11">
          <w:rPr>
            <w:noProof/>
            <w:webHidden/>
          </w:rPr>
          <w:fldChar w:fldCharType="begin"/>
        </w:r>
        <w:r w:rsidR="00BA5E11">
          <w:rPr>
            <w:noProof/>
            <w:webHidden/>
          </w:rPr>
          <w:instrText xml:space="preserve"> PAGEREF _Toc64534454 \h </w:instrText>
        </w:r>
        <w:r w:rsidR="00BA5E11">
          <w:rPr>
            <w:noProof/>
            <w:webHidden/>
          </w:rPr>
        </w:r>
        <w:r w:rsidR="00BA5E11">
          <w:rPr>
            <w:noProof/>
            <w:webHidden/>
          </w:rPr>
          <w:fldChar w:fldCharType="separate"/>
        </w:r>
        <w:r w:rsidR="00BA5E11">
          <w:rPr>
            <w:noProof/>
            <w:webHidden/>
          </w:rPr>
          <w:t>23</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55" w:history="1">
        <w:r w:rsidR="00BA5E11" w:rsidRPr="00464DAB">
          <w:rPr>
            <w:rStyle w:val="Hyperlink"/>
            <w:rFonts w:cs="Calibri"/>
            <w:noProof/>
          </w:rPr>
          <w:t>XVI.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OBAVEZE PREMA DRUŠTVU ZA UPRAVLJANJE</w:t>
        </w:r>
        <w:r w:rsidR="00BA5E11">
          <w:rPr>
            <w:noProof/>
            <w:webHidden/>
          </w:rPr>
          <w:tab/>
        </w:r>
        <w:r w:rsidR="00BA5E11">
          <w:rPr>
            <w:noProof/>
            <w:webHidden/>
          </w:rPr>
          <w:fldChar w:fldCharType="begin"/>
        </w:r>
        <w:r w:rsidR="00BA5E11">
          <w:rPr>
            <w:noProof/>
            <w:webHidden/>
          </w:rPr>
          <w:instrText xml:space="preserve"> PAGEREF _Toc64534455 \h </w:instrText>
        </w:r>
        <w:r w:rsidR="00BA5E11">
          <w:rPr>
            <w:noProof/>
            <w:webHidden/>
          </w:rPr>
        </w:r>
        <w:r w:rsidR="00BA5E11">
          <w:rPr>
            <w:noProof/>
            <w:webHidden/>
          </w:rPr>
          <w:fldChar w:fldCharType="separate"/>
        </w:r>
        <w:r w:rsidR="00BA5E11">
          <w:rPr>
            <w:noProof/>
            <w:webHidden/>
          </w:rPr>
          <w:t>23</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56" w:history="1">
        <w:r w:rsidR="00BA5E11" w:rsidRPr="00464DAB">
          <w:rPr>
            <w:rStyle w:val="Hyperlink"/>
            <w:rFonts w:cs="Calibri"/>
            <w:noProof/>
          </w:rPr>
          <w:t>XVII.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KAPITAL</w:t>
        </w:r>
        <w:r w:rsidR="00BA5E11">
          <w:rPr>
            <w:noProof/>
            <w:webHidden/>
          </w:rPr>
          <w:tab/>
        </w:r>
        <w:r w:rsidR="00BA5E11">
          <w:rPr>
            <w:noProof/>
            <w:webHidden/>
          </w:rPr>
          <w:fldChar w:fldCharType="begin"/>
        </w:r>
        <w:r w:rsidR="00BA5E11">
          <w:rPr>
            <w:noProof/>
            <w:webHidden/>
          </w:rPr>
          <w:instrText xml:space="preserve"> PAGEREF _Toc64534456 \h </w:instrText>
        </w:r>
        <w:r w:rsidR="00BA5E11">
          <w:rPr>
            <w:noProof/>
            <w:webHidden/>
          </w:rPr>
        </w:r>
        <w:r w:rsidR="00BA5E11">
          <w:rPr>
            <w:noProof/>
            <w:webHidden/>
          </w:rPr>
          <w:fldChar w:fldCharType="separate"/>
        </w:r>
        <w:r w:rsidR="00BA5E11">
          <w:rPr>
            <w:noProof/>
            <w:webHidden/>
          </w:rPr>
          <w:t>24</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57" w:history="1">
        <w:r w:rsidR="00BA5E11" w:rsidRPr="00464DAB">
          <w:rPr>
            <w:rStyle w:val="Hyperlink"/>
            <w:rFonts w:ascii="Calibri" w:hAnsi="Calibri" w:cs="Calibri"/>
            <w:noProof/>
          </w:rPr>
          <w:t>1.</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Osnovni kapital- udjeli</w:t>
        </w:r>
        <w:r w:rsidR="00BA5E11">
          <w:rPr>
            <w:noProof/>
            <w:webHidden/>
          </w:rPr>
          <w:tab/>
        </w:r>
        <w:r w:rsidR="00BA5E11">
          <w:rPr>
            <w:noProof/>
            <w:webHidden/>
          </w:rPr>
          <w:fldChar w:fldCharType="begin"/>
        </w:r>
        <w:r w:rsidR="00BA5E11">
          <w:rPr>
            <w:noProof/>
            <w:webHidden/>
          </w:rPr>
          <w:instrText xml:space="preserve"> PAGEREF _Toc64534457 \h </w:instrText>
        </w:r>
        <w:r w:rsidR="00BA5E11">
          <w:rPr>
            <w:noProof/>
            <w:webHidden/>
          </w:rPr>
        </w:r>
        <w:r w:rsidR="00BA5E11">
          <w:rPr>
            <w:noProof/>
            <w:webHidden/>
          </w:rPr>
          <w:fldChar w:fldCharType="separate"/>
        </w:r>
        <w:r w:rsidR="00BA5E11">
          <w:rPr>
            <w:noProof/>
            <w:webHidden/>
          </w:rPr>
          <w:t>24</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58" w:history="1">
        <w:r w:rsidR="00BA5E11" w:rsidRPr="00464DAB">
          <w:rPr>
            <w:rStyle w:val="Hyperlink"/>
            <w:rFonts w:ascii="Calibri" w:hAnsi="Calibri" w:cs="Calibri"/>
            <w:noProof/>
          </w:rPr>
          <w:t>2.</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Revalorizacione rezerve po osnovu finansijskih sredstava raspoloživih za prodaju</w:t>
        </w:r>
        <w:r w:rsidR="00BA5E11">
          <w:rPr>
            <w:noProof/>
            <w:webHidden/>
          </w:rPr>
          <w:tab/>
        </w:r>
        <w:r w:rsidR="00BA5E11">
          <w:rPr>
            <w:noProof/>
            <w:webHidden/>
          </w:rPr>
          <w:fldChar w:fldCharType="begin"/>
        </w:r>
        <w:r w:rsidR="00BA5E11">
          <w:rPr>
            <w:noProof/>
            <w:webHidden/>
          </w:rPr>
          <w:instrText xml:space="preserve"> PAGEREF _Toc64534458 \h </w:instrText>
        </w:r>
        <w:r w:rsidR="00BA5E11">
          <w:rPr>
            <w:noProof/>
            <w:webHidden/>
          </w:rPr>
        </w:r>
        <w:r w:rsidR="00BA5E11">
          <w:rPr>
            <w:noProof/>
            <w:webHidden/>
          </w:rPr>
          <w:fldChar w:fldCharType="separate"/>
        </w:r>
        <w:r w:rsidR="00BA5E11">
          <w:rPr>
            <w:noProof/>
            <w:webHidden/>
          </w:rPr>
          <w:t>24</w:t>
        </w:r>
        <w:r w:rsidR="00BA5E11">
          <w:rPr>
            <w:noProof/>
            <w:webHidden/>
          </w:rPr>
          <w:fldChar w:fldCharType="end"/>
        </w:r>
      </w:hyperlink>
    </w:p>
    <w:p w:rsidR="00BA5E11" w:rsidRDefault="00C96EC7">
      <w:pPr>
        <w:pStyle w:val="TOC2"/>
        <w:rPr>
          <w:rFonts w:asciiTheme="minorHAnsi" w:eastAsiaTheme="minorEastAsia" w:hAnsiTheme="minorHAnsi" w:cstheme="minorBidi"/>
          <w:noProof/>
          <w:sz w:val="22"/>
          <w:szCs w:val="22"/>
        </w:rPr>
      </w:pPr>
      <w:hyperlink w:anchor="_Toc64534459" w:history="1">
        <w:r w:rsidR="00BA5E11" w:rsidRPr="00464DAB">
          <w:rPr>
            <w:rStyle w:val="Hyperlink"/>
            <w:rFonts w:ascii="Calibri" w:hAnsi="Calibri" w:cs="Calibri"/>
            <w:noProof/>
          </w:rPr>
          <w:t>3.</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Nerealizovani dobici/gubici po osnovu finansijskih sredstava vrednovanih po fer vrijednosti kroz bilans uspjeha</w:t>
        </w:r>
        <w:r w:rsidR="00BA5E11">
          <w:rPr>
            <w:noProof/>
            <w:webHidden/>
          </w:rPr>
          <w:tab/>
        </w:r>
        <w:r w:rsidR="00BA5E11">
          <w:rPr>
            <w:noProof/>
            <w:webHidden/>
          </w:rPr>
          <w:fldChar w:fldCharType="begin"/>
        </w:r>
        <w:r w:rsidR="00BA5E11">
          <w:rPr>
            <w:noProof/>
            <w:webHidden/>
          </w:rPr>
          <w:instrText xml:space="preserve"> PAGEREF _Toc64534459 \h </w:instrText>
        </w:r>
        <w:r w:rsidR="00BA5E11">
          <w:rPr>
            <w:noProof/>
            <w:webHidden/>
          </w:rPr>
        </w:r>
        <w:r w:rsidR="00BA5E11">
          <w:rPr>
            <w:noProof/>
            <w:webHidden/>
          </w:rPr>
          <w:fldChar w:fldCharType="separate"/>
        </w:r>
        <w:r w:rsidR="00BA5E11">
          <w:rPr>
            <w:noProof/>
            <w:webHidden/>
          </w:rPr>
          <w:t>24</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60" w:history="1">
        <w:r w:rsidR="00BA5E11" w:rsidRPr="00464DAB">
          <w:rPr>
            <w:rStyle w:val="Hyperlink"/>
            <w:rFonts w:cs="Calibri"/>
            <w:noProof/>
          </w:rPr>
          <w:t>XVIII.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ZARADA / (GUBITAK) PO UDJELU</w:t>
        </w:r>
        <w:r w:rsidR="00BA5E11">
          <w:rPr>
            <w:noProof/>
            <w:webHidden/>
          </w:rPr>
          <w:tab/>
        </w:r>
        <w:r w:rsidR="00BA5E11">
          <w:rPr>
            <w:noProof/>
            <w:webHidden/>
          </w:rPr>
          <w:fldChar w:fldCharType="begin"/>
        </w:r>
        <w:r w:rsidR="00BA5E11">
          <w:rPr>
            <w:noProof/>
            <w:webHidden/>
          </w:rPr>
          <w:instrText xml:space="preserve"> PAGEREF _Toc64534460 \h </w:instrText>
        </w:r>
        <w:r w:rsidR="00BA5E11">
          <w:rPr>
            <w:noProof/>
            <w:webHidden/>
          </w:rPr>
        </w:r>
        <w:r w:rsidR="00BA5E11">
          <w:rPr>
            <w:noProof/>
            <w:webHidden/>
          </w:rPr>
          <w:fldChar w:fldCharType="separate"/>
        </w:r>
        <w:r w:rsidR="00BA5E11">
          <w:rPr>
            <w:noProof/>
            <w:webHidden/>
          </w:rPr>
          <w:t>24</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61" w:history="1">
        <w:r w:rsidR="00BA5E11" w:rsidRPr="00464DAB">
          <w:rPr>
            <w:rStyle w:val="Hyperlink"/>
            <w:rFonts w:cs="Calibri"/>
            <w:noProof/>
          </w:rPr>
          <w:t>XIX.</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TRANSAKCIJE SA POVEZANIM LICIMA</w:t>
        </w:r>
        <w:r w:rsidR="00BA5E11">
          <w:rPr>
            <w:noProof/>
            <w:webHidden/>
          </w:rPr>
          <w:tab/>
        </w:r>
        <w:r w:rsidR="00BA5E11">
          <w:rPr>
            <w:noProof/>
            <w:webHidden/>
          </w:rPr>
          <w:fldChar w:fldCharType="begin"/>
        </w:r>
        <w:r w:rsidR="00BA5E11">
          <w:rPr>
            <w:noProof/>
            <w:webHidden/>
          </w:rPr>
          <w:instrText xml:space="preserve"> PAGEREF _Toc64534461 \h </w:instrText>
        </w:r>
        <w:r w:rsidR="00BA5E11">
          <w:rPr>
            <w:noProof/>
            <w:webHidden/>
          </w:rPr>
        </w:r>
        <w:r w:rsidR="00BA5E11">
          <w:rPr>
            <w:noProof/>
            <w:webHidden/>
          </w:rPr>
          <w:fldChar w:fldCharType="separate"/>
        </w:r>
        <w:r w:rsidR="00BA5E11">
          <w:rPr>
            <w:noProof/>
            <w:webHidden/>
          </w:rPr>
          <w:t>25</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62" w:history="1">
        <w:r w:rsidR="00BA5E11" w:rsidRPr="00464DAB">
          <w:rPr>
            <w:rStyle w:val="Hyperlink"/>
            <w:rFonts w:cs="Calibri"/>
            <w:noProof/>
          </w:rPr>
          <w:t>XX.</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SUDSKI SPOROVI</w:t>
        </w:r>
        <w:r w:rsidR="00BA5E11">
          <w:rPr>
            <w:noProof/>
            <w:webHidden/>
          </w:rPr>
          <w:tab/>
        </w:r>
        <w:r w:rsidR="00BA5E11">
          <w:rPr>
            <w:noProof/>
            <w:webHidden/>
          </w:rPr>
          <w:fldChar w:fldCharType="begin"/>
        </w:r>
        <w:r w:rsidR="00BA5E11">
          <w:rPr>
            <w:noProof/>
            <w:webHidden/>
          </w:rPr>
          <w:instrText xml:space="preserve"> PAGEREF _Toc64534462 \h </w:instrText>
        </w:r>
        <w:r w:rsidR="00BA5E11">
          <w:rPr>
            <w:noProof/>
            <w:webHidden/>
          </w:rPr>
        </w:r>
        <w:r w:rsidR="00BA5E11">
          <w:rPr>
            <w:noProof/>
            <w:webHidden/>
          </w:rPr>
          <w:fldChar w:fldCharType="separate"/>
        </w:r>
        <w:r w:rsidR="00BA5E11">
          <w:rPr>
            <w:noProof/>
            <w:webHidden/>
          </w:rPr>
          <w:t>26</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63" w:history="1">
        <w:r w:rsidR="00BA5E11" w:rsidRPr="00464DAB">
          <w:rPr>
            <w:rStyle w:val="Hyperlink"/>
            <w:rFonts w:cs="Calibri"/>
            <w:noProof/>
          </w:rPr>
          <w:t>XXI.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TEKUĆA EKONOMSKA SITUACIJA I NJEN UTICAJ NA POSLOVANJE</w:t>
        </w:r>
        <w:r w:rsidR="00BA5E11">
          <w:rPr>
            <w:noProof/>
            <w:webHidden/>
          </w:rPr>
          <w:tab/>
        </w:r>
        <w:r w:rsidR="00BA5E11">
          <w:rPr>
            <w:noProof/>
            <w:webHidden/>
          </w:rPr>
          <w:fldChar w:fldCharType="begin"/>
        </w:r>
        <w:r w:rsidR="00BA5E11">
          <w:rPr>
            <w:noProof/>
            <w:webHidden/>
          </w:rPr>
          <w:instrText xml:space="preserve"> PAGEREF _Toc64534463 \h </w:instrText>
        </w:r>
        <w:r w:rsidR="00BA5E11">
          <w:rPr>
            <w:noProof/>
            <w:webHidden/>
          </w:rPr>
        </w:r>
        <w:r w:rsidR="00BA5E11">
          <w:rPr>
            <w:noProof/>
            <w:webHidden/>
          </w:rPr>
          <w:fldChar w:fldCharType="separate"/>
        </w:r>
        <w:r w:rsidR="00BA5E11">
          <w:rPr>
            <w:noProof/>
            <w:webHidden/>
          </w:rPr>
          <w:t>26</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64" w:history="1">
        <w:r w:rsidR="00BA5E11" w:rsidRPr="00464DAB">
          <w:rPr>
            <w:rStyle w:val="Hyperlink"/>
            <w:rFonts w:cs="Calibri"/>
            <w:noProof/>
          </w:rPr>
          <w:t>XXII.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DEVIZNI KURSEVI</w:t>
        </w:r>
        <w:r w:rsidR="00BA5E11">
          <w:rPr>
            <w:noProof/>
            <w:webHidden/>
          </w:rPr>
          <w:tab/>
        </w:r>
        <w:r w:rsidR="00BA5E11">
          <w:rPr>
            <w:noProof/>
            <w:webHidden/>
          </w:rPr>
          <w:fldChar w:fldCharType="begin"/>
        </w:r>
        <w:r w:rsidR="00BA5E11">
          <w:rPr>
            <w:noProof/>
            <w:webHidden/>
          </w:rPr>
          <w:instrText xml:space="preserve"> PAGEREF _Toc64534464 \h </w:instrText>
        </w:r>
        <w:r w:rsidR="00BA5E11">
          <w:rPr>
            <w:noProof/>
            <w:webHidden/>
          </w:rPr>
        </w:r>
        <w:r w:rsidR="00BA5E11">
          <w:rPr>
            <w:noProof/>
            <w:webHidden/>
          </w:rPr>
          <w:fldChar w:fldCharType="separate"/>
        </w:r>
        <w:r w:rsidR="00BA5E11">
          <w:rPr>
            <w:noProof/>
            <w:webHidden/>
          </w:rPr>
          <w:t>26</w:t>
        </w:r>
        <w:r w:rsidR="00BA5E11">
          <w:rPr>
            <w:noProof/>
            <w:webHidden/>
          </w:rPr>
          <w:fldChar w:fldCharType="end"/>
        </w:r>
      </w:hyperlink>
    </w:p>
    <w:p w:rsidR="00BA5E11" w:rsidRDefault="00C96EC7">
      <w:pPr>
        <w:pStyle w:val="TOC1"/>
        <w:rPr>
          <w:rFonts w:asciiTheme="minorHAnsi" w:eastAsiaTheme="minorEastAsia" w:hAnsiTheme="minorHAnsi" w:cstheme="minorBidi"/>
          <w:noProof/>
          <w:sz w:val="22"/>
          <w:szCs w:val="22"/>
        </w:rPr>
      </w:pPr>
      <w:hyperlink w:anchor="_Toc64534465" w:history="1">
        <w:r w:rsidR="00BA5E11" w:rsidRPr="00464DAB">
          <w:rPr>
            <w:rStyle w:val="Hyperlink"/>
            <w:rFonts w:cstheme="minorHAnsi"/>
            <w:noProof/>
          </w:rPr>
          <w:t>XXIII.</w:t>
        </w:r>
        <w:r w:rsidR="00BA5E11">
          <w:rPr>
            <w:rFonts w:asciiTheme="minorHAnsi" w:eastAsiaTheme="minorEastAsia" w:hAnsiTheme="minorHAnsi" w:cstheme="minorBidi"/>
            <w:noProof/>
            <w:sz w:val="22"/>
            <w:szCs w:val="22"/>
          </w:rPr>
          <w:tab/>
        </w:r>
        <w:r w:rsidR="00BA5E11" w:rsidRPr="00464DAB">
          <w:rPr>
            <w:rStyle w:val="Hyperlink"/>
            <w:rFonts w:cstheme="minorHAnsi"/>
            <w:noProof/>
          </w:rPr>
          <w:t>FINANSIJSKI INSTRUMENTI</w:t>
        </w:r>
        <w:r w:rsidR="00BA5E11">
          <w:rPr>
            <w:noProof/>
            <w:webHidden/>
          </w:rPr>
          <w:tab/>
        </w:r>
        <w:r w:rsidR="00BA5E11">
          <w:rPr>
            <w:noProof/>
            <w:webHidden/>
          </w:rPr>
          <w:fldChar w:fldCharType="begin"/>
        </w:r>
        <w:r w:rsidR="00BA5E11">
          <w:rPr>
            <w:noProof/>
            <w:webHidden/>
          </w:rPr>
          <w:instrText xml:space="preserve"> PAGEREF _Toc64534465 \h </w:instrText>
        </w:r>
        <w:r w:rsidR="00BA5E11">
          <w:rPr>
            <w:noProof/>
            <w:webHidden/>
          </w:rPr>
        </w:r>
        <w:r w:rsidR="00BA5E11">
          <w:rPr>
            <w:noProof/>
            <w:webHidden/>
          </w:rPr>
          <w:fldChar w:fldCharType="separate"/>
        </w:r>
        <w:r w:rsidR="00BA5E11">
          <w:rPr>
            <w:noProof/>
            <w:webHidden/>
          </w:rPr>
          <w:t>27</w:t>
        </w:r>
        <w:r w:rsidR="00BA5E11">
          <w:rPr>
            <w:noProof/>
            <w:webHidden/>
          </w:rPr>
          <w:fldChar w:fldCharType="end"/>
        </w:r>
      </w:hyperlink>
    </w:p>
    <w:p w:rsidR="00B64A52" w:rsidRPr="00A47E7E" w:rsidRDefault="000C1413" w:rsidP="0033169F">
      <w:pPr>
        <w:jc w:val="both"/>
        <w:rPr>
          <w:rFonts w:ascii="Calibri" w:hAnsi="Calibri" w:cs="Calibri"/>
        </w:rPr>
      </w:pPr>
      <w:r w:rsidRPr="00A47E7E">
        <w:rPr>
          <w:rFonts w:ascii="Calibri" w:hAnsi="Calibri" w:cs="Calibri"/>
        </w:rPr>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64534427"/>
      <w:r w:rsidRPr="00A47E7E">
        <w:rPr>
          <w:rFonts w:ascii="Calibri" w:hAnsi="Calibri" w:cs="Calibri"/>
          <w:sz w:val="24"/>
          <w:szCs w:val="24"/>
        </w:rPr>
        <w:lastRenderedPageBreak/>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B82DA0" w:rsidRPr="00A47E7E" w:rsidRDefault="00F64D1D" w:rsidP="00B82DA0">
      <w:pPr>
        <w:ind w:firstLine="270"/>
        <w:jc w:val="both"/>
        <w:rPr>
          <w:rFonts w:ascii="Calibri" w:hAnsi="Calibri" w:cs="Calibri"/>
          <w:lang w:val="hr-HR"/>
        </w:rPr>
      </w:pPr>
      <w:r w:rsidRPr="00405F4C">
        <w:rPr>
          <w:rFonts w:ascii="Calibri" w:hAnsi="Calibri" w:cs="Calibri"/>
          <w:lang w:val="hr-HR"/>
        </w:rPr>
        <w:t xml:space="preserve">Riješenjem Komisije za hartije od vrijednosti Republike Srpske Broj: </w:t>
      </w:r>
      <w:r w:rsidR="00405F4C">
        <w:rPr>
          <w:rFonts w:ascii="Calibri" w:hAnsi="Calibri" w:cs="Calibri"/>
          <w:lang w:val="hr-HR"/>
        </w:rPr>
        <w:t>01-UP-51-445-8/18 od 12.10.2018.god. odobreno je potpuno</w:t>
      </w:r>
      <w:r w:rsidRPr="00405F4C">
        <w:rPr>
          <w:rFonts w:ascii="Calibri" w:hAnsi="Calibri" w:cs="Calibri"/>
          <w:lang w:val="hr-HR"/>
        </w:rPr>
        <w:t xml:space="preserve"> preoblikovanje ZMI</w:t>
      </w:r>
      <w:r w:rsidR="00665200" w:rsidRPr="00405F4C">
        <w:rPr>
          <w:rFonts w:ascii="Calibri" w:hAnsi="Calibri" w:cs="Calibri"/>
          <w:lang w:val="hr-HR"/>
        </w:rPr>
        <w:t>F-a u preoblikovanju Kristal invest fond</w:t>
      </w:r>
      <w:r w:rsidRPr="00405F4C">
        <w:rPr>
          <w:rFonts w:ascii="Calibri" w:hAnsi="Calibri" w:cs="Calibri"/>
          <w:lang w:val="hr-HR"/>
        </w:rPr>
        <w:t xml:space="preserve"> ad Banja Luka. Dati</w:t>
      </w:r>
      <w:r w:rsidR="00B82DA0">
        <w:rPr>
          <w:rFonts w:ascii="Calibri" w:hAnsi="Calibri" w:cs="Calibri"/>
          <w:lang w:val="hr-HR"/>
        </w:rPr>
        <w:t xml:space="preserve">m riješenjem Društvu je odobren prenos </w:t>
      </w:r>
      <w:r w:rsidRPr="00405F4C">
        <w:rPr>
          <w:rFonts w:ascii="Calibri" w:hAnsi="Calibri" w:cs="Calibri"/>
          <w:lang w:val="hr-HR"/>
        </w:rPr>
        <w:t>imovine rad</w:t>
      </w:r>
      <w:r w:rsidR="00665200" w:rsidRPr="00405F4C">
        <w:rPr>
          <w:rFonts w:ascii="Calibri" w:hAnsi="Calibri" w:cs="Calibri"/>
          <w:lang w:val="hr-HR"/>
        </w:rPr>
        <w:t xml:space="preserve">i osnivanja Otvorenog </w:t>
      </w:r>
      <w:r w:rsidR="00B82DA0">
        <w:rPr>
          <w:rFonts w:ascii="Calibri" w:hAnsi="Calibri" w:cs="Calibri"/>
          <w:lang w:val="hr-HR"/>
        </w:rPr>
        <w:t>nočanog</w:t>
      </w:r>
      <w:r w:rsidRPr="00405F4C">
        <w:rPr>
          <w:rFonts w:ascii="Calibri" w:hAnsi="Calibri" w:cs="Calibri"/>
          <w:lang w:val="hr-HR"/>
        </w:rPr>
        <w:t xml:space="preserve"> investicionog fonda </w:t>
      </w:r>
      <w:r w:rsidR="00B82DA0">
        <w:rPr>
          <w:rFonts w:ascii="Calibri" w:hAnsi="Calibri" w:cs="Calibri"/>
          <w:lang w:val="hr-HR"/>
        </w:rPr>
        <w:t>Cash</w:t>
      </w:r>
      <w:r w:rsidR="00665200" w:rsidRPr="00405F4C">
        <w:rPr>
          <w:rFonts w:ascii="Calibri" w:hAnsi="Calibri" w:cs="Calibri"/>
          <w:lang w:val="hr-HR"/>
        </w:rPr>
        <w:t xml:space="preserve"> fund </w:t>
      </w:r>
      <w:r w:rsidRPr="00405F4C">
        <w:rPr>
          <w:rFonts w:ascii="Calibri" w:hAnsi="Calibri" w:cs="Calibri"/>
          <w:lang w:val="hr-HR"/>
        </w:rPr>
        <w:t xml:space="preserve">u skladu sa Odlukom o </w:t>
      </w:r>
      <w:r w:rsidR="00405F4C">
        <w:rPr>
          <w:rFonts w:ascii="Calibri" w:hAnsi="Calibri" w:cs="Calibri"/>
          <w:lang w:val="hr-HR"/>
        </w:rPr>
        <w:t>potpunom</w:t>
      </w:r>
      <w:r w:rsidRPr="00405F4C">
        <w:rPr>
          <w:rFonts w:ascii="Calibri" w:hAnsi="Calibri" w:cs="Calibri"/>
          <w:lang w:val="hr-HR"/>
        </w:rPr>
        <w:t xml:space="preserve"> preoblikovanju ZMIF-a u preoblikovanju </w:t>
      </w:r>
      <w:r w:rsidR="00665200" w:rsidRPr="00405F4C">
        <w:rPr>
          <w:rFonts w:ascii="Calibri" w:hAnsi="Calibri" w:cs="Calibri"/>
          <w:lang w:val="hr-HR"/>
        </w:rPr>
        <w:t>Kristal invest fond</w:t>
      </w:r>
      <w:r w:rsidRPr="00405F4C">
        <w:rPr>
          <w:rFonts w:ascii="Calibri" w:hAnsi="Calibri" w:cs="Calibri"/>
          <w:lang w:val="hr-HR"/>
        </w:rPr>
        <w:t xml:space="preserve"> ad Banja Luka (prečišćen tekst) broj </w:t>
      </w:r>
      <w:r w:rsidR="00405F4C">
        <w:rPr>
          <w:rFonts w:ascii="Calibri" w:hAnsi="Calibri" w:cs="Calibri"/>
          <w:lang w:val="hr-HR"/>
        </w:rPr>
        <w:t>220-SKZMIF/18 od 29.06.2018.</w:t>
      </w:r>
      <w:r w:rsidR="00B82DA0">
        <w:rPr>
          <w:rFonts w:ascii="Calibri" w:hAnsi="Calibri" w:cs="Calibri"/>
          <w:lang w:val="hr-HR"/>
        </w:rPr>
        <w:t>god.</w:t>
      </w:r>
    </w:p>
    <w:p w:rsidR="00F64D1D" w:rsidRPr="00A47E7E" w:rsidRDefault="00405F4C" w:rsidP="00992D80">
      <w:pPr>
        <w:ind w:firstLine="270"/>
        <w:jc w:val="both"/>
        <w:rPr>
          <w:rFonts w:ascii="Calibri" w:hAnsi="Calibri" w:cs="Calibri"/>
          <w:lang w:val="hr-HR"/>
        </w:rPr>
      </w:pPr>
      <w:r>
        <w:rPr>
          <w:rFonts w:ascii="Calibri" w:hAnsi="Calibri" w:cs="Calibri"/>
          <w:lang w:val="hr-HR"/>
        </w:rPr>
        <w:t>Dana 23.11.2018</w:t>
      </w:r>
      <w:r w:rsidR="00F64D1D" w:rsidRPr="00A47E7E">
        <w:rPr>
          <w:rFonts w:ascii="Calibri" w:hAnsi="Calibri" w:cs="Calibri"/>
          <w:lang w:val="hr-HR"/>
        </w:rPr>
        <w:t>. godine Centralni registar hartija od vrijednosti izvršio je registraciju hartija od vrijednosti - udio u otvorenom investicionom fondu, prva emisija-osnivanje otvor</w:t>
      </w:r>
      <w:r w:rsidR="00665200">
        <w:rPr>
          <w:rFonts w:ascii="Calibri" w:hAnsi="Calibri" w:cs="Calibri"/>
          <w:lang w:val="hr-HR"/>
        </w:rPr>
        <w:t xml:space="preserve">enog investicionog fonda </w:t>
      </w:r>
      <w:r>
        <w:rPr>
          <w:rFonts w:ascii="Calibri" w:hAnsi="Calibri" w:cs="Calibri"/>
          <w:lang w:val="hr-HR"/>
        </w:rPr>
        <w:t>Cash</w:t>
      </w:r>
      <w:r w:rsidR="00F64D1D" w:rsidRPr="00A47E7E">
        <w:rPr>
          <w:rFonts w:ascii="Calibri" w:hAnsi="Calibri" w:cs="Calibri"/>
          <w:lang w:val="hr-HR"/>
        </w:rPr>
        <w:t xml:space="preserve"> fund Banja Luka. Udjeli su registrovani kod Komisije za hartije od vrijednosti Republike Srpske po</w:t>
      </w:r>
      <w:r w:rsidR="00B82DA0">
        <w:rPr>
          <w:rFonts w:ascii="Calibri" w:hAnsi="Calibri" w:cs="Calibri"/>
          <w:lang w:val="hr-HR"/>
        </w:rPr>
        <w:t>d identifikacionim brojem JP-N</w:t>
      </w:r>
      <w:r>
        <w:rPr>
          <w:rFonts w:ascii="Calibri" w:hAnsi="Calibri" w:cs="Calibri"/>
          <w:lang w:val="hr-HR"/>
        </w:rPr>
        <w:t>-21</w:t>
      </w:r>
      <w:r w:rsidR="00F64D1D" w:rsidRPr="00A47E7E">
        <w:rPr>
          <w:rFonts w:ascii="Calibri" w:hAnsi="Calibri" w:cs="Calibri"/>
          <w:lang w:val="hr-HR"/>
        </w:rPr>
        <w:t xml:space="preserve">. Nakon upisa prve emisije,udjeli fonda nose oznaku </w:t>
      </w:r>
      <w:r>
        <w:rPr>
          <w:rFonts w:ascii="Calibri" w:hAnsi="Calibri" w:cs="Calibri"/>
          <w:lang w:val="sr-Latn-CS"/>
        </w:rPr>
        <w:t>CSHP</w:t>
      </w:r>
      <w:r w:rsidR="00F64D1D" w:rsidRPr="00A47E7E">
        <w:rPr>
          <w:rFonts w:ascii="Calibri" w:hAnsi="Calibri" w:cs="Calibri"/>
          <w:lang w:val="sr-Latn-CS"/>
        </w:rPr>
        <w:t xml:space="preserve">-U-A, a od </w:t>
      </w:r>
      <w:r w:rsidR="00B82DA0" w:rsidRPr="00B82DA0">
        <w:rPr>
          <w:rFonts w:ascii="Calibri" w:hAnsi="Calibri" w:cs="Calibri"/>
          <w:lang w:val="sr-Latn-CS"/>
        </w:rPr>
        <w:t>04.12.2018</w:t>
      </w:r>
      <w:r w:rsidR="00F64D1D" w:rsidRPr="00A47E7E">
        <w:rPr>
          <w:rFonts w:ascii="Calibri" w:hAnsi="Calibri" w:cs="Calibri"/>
          <w:lang w:val="sr-Latn-CS"/>
        </w:rPr>
        <w:t>. godine</w:t>
      </w:r>
      <w:r w:rsidR="00992D80">
        <w:rPr>
          <w:rFonts w:ascii="Calibri" w:hAnsi="Calibri" w:cs="Calibri"/>
          <w:lang w:val="sr-Latn-CS"/>
        </w:rPr>
        <w:t xml:space="preserve"> ne</w:t>
      </w:r>
      <w:r w:rsidR="00F64D1D" w:rsidRPr="00A47E7E">
        <w:rPr>
          <w:rFonts w:ascii="Calibri" w:hAnsi="Calibri" w:cs="Calibri"/>
          <w:lang w:val="sr-Latn-CS"/>
        </w:rPr>
        <w:t xml:space="preserve"> kotiraju na Banjalučkoj berzi a.d.</w:t>
      </w:r>
      <w:r w:rsidR="00992D80">
        <w:rPr>
          <w:rFonts w:ascii="Calibri" w:hAnsi="Calibri" w:cs="Calibri"/>
          <w:lang w:val="sr-Latn-CS"/>
        </w:rPr>
        <w:t>.</w:t>
      </w:r>
      <w:r w:rsidR="00992D80" w:rsidRPr="00992D80">
        <w:rPr>
          <w:rFonts w:ascii="Calibri" w:hAnsi="Calibri" w:cs="Calibri"/>
          <w:lang w:val="hr-HR"/>
        </w:rPr>
        <w:t xml:space="preserve"> </w:t>
      </w:r>
      <w:r w:rsidR="00992D80" w:rsidRPr="001C4D71">
        <w:rPr>
          <w:rFonts w:ascii="Calibri" w:hAnsi="Calibri" w:cs="Calibri"/>
          <w:lang w:val="hr-HR"/>
        </w:rPr>
        <w:t>Rješenjem Komisije za hartije od vrijednosti Repu</w:t>
      </w:r>
      <w:r w:rsidR="00992D80">
        <w:rPr>
          <w:rFonts w:ascii="Calibri" w:hAnsi="Calibri" w:cs="Calibri"/>
          <w:lang w:val="hr-HR"/>
        </w:rPr>
        <w:t>blike Srpske broj 01-UP-51-365-2</w:t>
      </w:r>
      <w:r w:rsidR="00992D80" w:rsidRPr="001C4D71">
        <w:rPr>
          <w:rFonts w:ascii="Calibri" w:hAnsi="Calibri" w:cs="Calibri"/>
          <w:lang w:val="hr-HR"/>
        </w:rPr>
        <w:t>/21 od dana 28.06.2021. godine izdata je dozvola za spajanje ONIF „</w:t>
      </w:r>
      <w:r w:rsidR="00992D80">
        <w:rPr>
          <w:rFonts w:ascii="Calibri" w:hAnsi="Calibri" w:cs="Calibri"/>
          <w:lang w:val="hr-HR"/>
        </w:rPr>
        <w:t>C</w:t>
      </w:r>
      <w:r w:rsidR="00992D80" w:rsidRPr="001C4D71">
        <w:rPr>
          <w:rFonts w:ascii="Calibri" w:hAnsi="Calibri" w:cs="Calibri"/>
          <w:lang w:val="hr-HR"/>
        </w:rPr>
        <w:t>ash fund“ pripajanjem OMIF „Maximus fund“.</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64534428"/>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64534429"/>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 xml:space="preserve">Finansijski izvještaji Fonda za </w:t>
      </w:r>
      <w:r w:rsidR="003908DF">
        <w:rPr>
          <w:rFonts w:ascii="Calibri" w:hAnsi="Calibri" w:cs="Calibri"/>
          <w:lang w:val="sr-Latn-CS"/>
        </w:rPr>
        <w:t>30.06</w:t>
      </w:r>
      <w:r w:rsidR="00A43961">
        <w:rPr>
          <w:rFonts w:ascii="Calibri" w:hAnsi="Calibri" w:cs="Calibri"/>
          <w:lang w:val="sr-Latn-CS"/>
        </w:rPr>
        <w:t>.</w:t>
      </w:r>
      <w:r w:rsidR="00B40C98">
        <w:rPr>
          <w:rFonts w:ascii="Calibri" w:hAnsi="Calibri" w:cs="Calibri"/>
          <w:lang w:val="sr-Latn-CS"/>
        </w:rPr>
        <w:t>2021</w:t>
      </w:r>
      <w:r w:rsidRPr="00A47E7E">
        <w:rPr>
          <w:rFonts w:ascii="Calibri" w:hAnsi="Calibri" w:cs="Calibri"/>
          <w:lang w:val="sr-Latn-CS"/>
        </w:rPr>
        <w:t xml:space="preserve">. </w:t>
      </w:r>
      <w:r w:rsidR="0033169F" w:rsidRPr="00A47E7E">
        <w:rPr>
          <w:rFonts w:ascii="Calibri" w:hAnsi="Calibri" w:cs="Calibri"/>
          <w:lang w:val="sr-Latn-CS"/>
        </w:rPr>
        <w:t>g</w:t>
      </w:r>
      <w:r w:rsidR="00A43961">
        <w:rPr>
          <w:rFonts w:ascii="Calibri" w:hAnsi="Calibri" w:cs="Calibri"/>
          <w:lang w:val="sr-Latn-CS"/>
        </w:rPr>
        <w:t>odine</w:t>
      </w:r>
      <w:r w:rsidRPr="00A47E7E">
        <w:rPr>
          <w:rFonts w:ascii="Calibri" w:hAnsi="Calibri" w:cs="Calibri"/>
          <w:lang w:val="sr-Latn-CS"/>
        </w:rPr>
        <w:t xml:space="preserve">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w:t>
      </w:r>
      <w:r w:rsidR="00FC221C">
        <w:rPr>
          <w:rFonts w:ascii="Calibri" w:hAnsi="Calibri" w:cs="Calibri"/>
          <w:sz w:val="24"/>
          <w:szCs w:val="24"/>
          <w:lang w:val="sr-Latn-CS" w:eastAsia="en-US"/>
        </w:rPr>
        <w:t>FRS 9 „Finansijski instrumenti“.</w:t>
      </w:r>
    </w:p>
    <w:p w:rsidR="00343C58" w:rsidRPr="00A47E7E" w:rsidRDefault="00343C58" w:rsidP="00073CB9">
      <w:pPr>
        <w:pStyle w:val="Header"/>
        <w:suppressAutoHyphens/>
        <w:jc w:val="both"/>
        <w:rPr>
          <w:rFonts w:ascii="Calibri" w:hAnsi="Calibri" w:cs="Calibri"/>
          <w:sz w:val="24"/>
          <w:szCs w:val="24"/>
          <w:lang w:val="sr-Latn-CS" w:eastAsia="en-US"/>
        </w:rPr>
      </w:pPr>
    </w:p>
    <w:p w:rsidR="00343C58" w:rsidRDefault="00343C58" w:rsidP="00343C58">
      <w:pPr>
        <w:pStyle w:val="Header"/>
        <w:suppressAutoHyphens/>
        <w:jc w:val="both"/>
        <w:rPr>
          <w:rFonts w:ascii="Calibri" w:hAnsi="Calibri" w:cs="Calibri"/>
          <w:sz w:val="24"/>
          <w:szCs w:val="24"/>
          <w:lang w:val="sr-Latn-CS" w:eastAsia="en-US"/>
        </w:rPr>
      </w:pPr>
      <w:r>
        <w:rPr>
          <w:rFonts w:ascii="Calibri" w:hAnsi="Calibri" w:cs="Calibri"/>
          <w:sz w:val="24"/>
          <w:szCs w:val="24"/>
          <w:lang w:val="sr-Latn-CS" w:eastAsia="en-US"/>
        </w:rPr>
        <w:t>Napominjemo da kontni plan i obrasci finansijskih izvještaja nisu usklađeni sa IFRS 9 „Finansijski instrumenti“.</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Default="00073CB9" w:rsidP="00073CB9">
      <w:pPr>
        <w:pStyle w:val="Header"/>
        <w:suppressAutoHyphens/>
        <w:jc w:val="both"/>
        <w:rPr>
          <w:rFonts w:ascii="Calibri" w:hAnsi="Calibri" w:cs="Calibri"/>
          <w:sz w:val="24"/>
          <w:szCs w:val="24"/>
          <w:lang w:val="sr-Latn-CS" w:eastAsia="en-US"/>
        </w:rPr>
      </w:pPr>
    </w:p>
    <w:p w:rsidR="00F33B00" w:rsidRDefault="00F33B00" w:rsidP="00073CB9">
      <w:pPr>
        <w:pStyle w:val="Header"/>
        <w:suppressAutoHyphens/>
        <w:jc w:val="both"/>
        <w:rPr>
          <w:rFonts w:ascii="Calibri" w:hAnsi="Calibri" w:cs="Calibri"/>
          <w:sz w:val="24"/>
          <w:szCs w:val="24"/>
          <w:lang w:val="sr-Latn-CS" w:eastAsia="en-US"/>
        </w:rPr>
      </w:pPr>
    </w:p>
    <w:p w:rsidR="00321C8E" w:rsidRPr="001975D5" w:rsidRDefault="00321C8E" w:rsidP="00321C8E">
      <w:pPr>
        <w:pStyle w:val="Stil1"/>
        <w:numPr>
          <w:ilvl w:val="0"/>
          <w:numId w:val="0"/>
        </w:numPr>
        <w:rPr>
          <w:szCs w:val="20"/>
        </w:rPr>
      </w:pPr>
      <w:r w:rsidRPr="001975D5">
        <w:rPr>
          <w:szCs w:val="20"/>
        </w:rPr>
        <w:t xml:space="preserve">2.      OSNOVE ZA SASTAVLJANJE I PRIKAZIVANJE FINANSIJSKIH IZVJEŠTAJA </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 xml:space="preserve">Priloženi finansijski izvještaji sastavljeni su uz primjenu Međunarodnih računovodstvenih standarda (»IAS«), odnosno Međunarodnih standarda finansijskog izvještavanja (»IFRS«, u daljem tekstu zajedno: »Standardi«), koji su bili u primjeni na dan 31. decembra 2018. godine i na njima zasnovanim propisima o računovodstvu Republike Srpske. </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 xml:space="preserve">Promjene u važećim Standardima i tumačenjima, kao i novousvojeni Standardi i tumačenja, izdati nakon 31. decembra 2018. godine, nisu objavljeni i zvanično usvojeni u Republici Srpskoj i, saglasno tome, nisu primijenjeni u sastavljanju priloženih konsolidovanih finansijskih izvještaja. </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Naime, na osnovu odredbi novousvojenog Zakona o računovodstvu i reviziji Republike Srpske (»Službeni glasnik RS«, broj 94/15), sva pravna lica sa sjedištem u Republici Srpskoj su u obavezi da u potpunosti primjenjuju IAS, odnosno IFRS, kao i Međunarodni standard finansijskog izvještavanja za male i srednje entitete (»IFRS for SMEs«), Međunarodne računovodstvene standarde za javni sektor (»IPSAS«), Međunarodne standarde vrednovanja (»IVS«), Međunarodne standarde za profesionalnu praksu interne revizije, Konceptualni okvir za finansijsko izvještavanje, Kodeks etike za profesionalne računovođe i prateća uputstva, objašnjenja i smjernice koje donosi Odbor za međunarodne računovodstvene standarde (»IASB«) i sva prateća uputstva, objašnjenja i smjernice koje donosi Međunarodna federacija računovođa (»IFAC«).</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Pored navedenog, u skladu sa Zakonom o računovodstvu i reviziji Republike Srpske (»Službeni glasnik RS«, broj 94/15), dana 19. februara 2020. godine Upravni odbor Saveza računovođa i revizora Republike Srpske (»Savez RR RS«) je donio »Odluku o utvrđivanju i objavljivanju prevoda Međunarodnih standarda finansijskog izvještavanja (MSFI) iz 2018. godine«.</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 xml:space="preserve">Prema navedenoj Odlukom utvrđuju se i objavljuju prevodi Standarda i tumačenja izdati od strane Odbora za međunarodne računovodstvene standarde do 31. decembra 2018. godine, koji su objavljeni na web stranici Saveza RR RS, a koji se počinju primjenjivati u Republici Srpskoj za finansijske izvještaje koji se sastavljaju na dan 31. decembra 2020. godine. </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Rukovodstvo Fonda analizira promjene u važećim Standardima i tumačenjima, kao i novousvojene Standarde i tumačenja izdata nakon 31. decembra 2018. godine, i nakon ustanovljavanja Standarda i tumačenja koji su relevantni za Fond, ima namjeru da iste primijeni u sastavljanju finansijskih izvještaja nakon što oni budu zvanično prevedeni i objavljeni u Republici Srpskoj.</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Iznosi u priloženim finansijskim izvještajima Fonda iskazani su u konvertibilnim markama (KM), osim ukoliko nije drugačije naznačeno. Konvertibilna marka (KM) predstavlja funkcionalnu i izvještajnu valutu u Republici Srpskoj i Bosni i Hercegovini.</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Rukovodstvo Fonda je izabralo da ne usvoji ove nove Standarde i izmjene postojećih Standarda prije nego oni stupe na snagu. Rukovodstvo predviđa da usvajanje ovih novih Standarda i izmjena postojećih Standarda neće imati materijalan uticaj na finansijske izvještaje Fonda u periodu inicijalne primjene.</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 xml:space="preserve">Osnovne računovodstvene politike primijenjene prilikom sastavljanja ovih finansijskih izvještaja navedene su u Napomeni 3. </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Priprema finansijskih izvještaja u skladu sa Standardima zahtjeva korišćenje određenih kritičnih računovodstvenih procjena. Takođe, priprema zahtjeva da menadžment Društva za upravljanje primjeni svoju procjenu u procesu primjene računovodstvenih politika Fonda.</w:t>
      </w:r>
    </w:p>
    <w:p w:rsidR="00321C8E" w:rsidRPr="001975D5" w:rsidRDefault="00321C8E" w:rsidP="00321C8E">
      <w:pPr>
        <w:pStyle w:val="BodySingle"/>
        <w:jc w:val="both"/>
        <w:rPr>
          <w:rFonts w:ascii="Calibri" w:hAnsi="Calibri" w:cs="Calibri"/>
          <w:noProof/>
          <w:color w:val="auto"/>
          <w:lang w:val="sr-Latn-RS"/>
        </w:rPr>
      </w:pPr>
      <w:r w:rsidRPr="001975D5">
        <w:rPr>
          <w:rFonts w:ascii="Calibri" w:hAnsi="Calibri" w:cs="Calibri"/>
          <w:color w:val="auto"/>
          <w:lang w:val="sr-Latn-CS"/>
        </w:rPr>
        <w:t xml:space="preserve">MSFI 9 – Finansijski instrumenti koji je stupio na snagu za godišnje periode koji počinju na ili nakon 01. januara 2018. godine  se odnosi na klasifikaciju, mjerenje i prestanak priznavanja finansijske imovine ili obaveza i zamjenio je modele višestruke klasifikacije i mjerenja u MRS 39 </w:t>
      </w:r>
      <w:r w:rsidRPr="001975D5">
        <w:rPr>
          <w:rFonts w:ascii="Calibri" w:hAnsi="Calibri" w:cs="Calibri"/>
          <w:noProof/>
          <w:color w:val="auto"/>
          <w:lang w:val="sr-Latn-RS"/>
        </w:rPr>
        <w:t>“Finansijski instrumenti: priznavanje i odmjeravanje”.</w:t>
      </w:r>
    </w:p>
    <w:p w:rsidR="00321C8E" w:rsidRPr="001975D5" w:rsidRDefault="00321C8E" w:rsidP="00321C8E">
      <w:pPr>
        <w:pStyle w:val="BodySingle"/>
        <w:jc w:val="both"/>
        <w:rPr>
          <w:rFonts w:ascii="Calibri" w:hAnsi="Calibri" w:cs="Calibri"/>
          <w:noProof/>
          <w:color w:val="auto"/>
          <w:lang w:val="sr-Latn-RS"/>
        </w:rPr>
      </w:pPr>
      <w:r w:rsidRPr="001975D5">
        <w:rPr>
          <w:rFonts w:ascii="Calibri" w:hAnsi="Calibri" w:cs="Calibri"/>
          <w:noProof/>
          <w:color w:val="auto"/>
          <w:lang w:val="sr-Latn-RS"/>
        </w:rPr>
        <w:t>Dužnički instrumenti se odmjeravaju po fer vrijednosti kroz ostalu sveobuhvatnu dobit. Cilj poslovnog modela dužničkih instrumenata je držanje finansijske imovine i za prikupljanje ugovorenih novčanih tokova iz SPPI i prodaja. Vlasnički instrumenti se odmjeravaju kroz račun dobitka i gubitka.</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ind w:left="567" w:hanging="567"/>
        <w:rPr>
          <w:rFonts w:ascii="Trebuchet MS" w:hAnsi="Trebuchet MS" w:cs="Arial"/>
          <w:b/>
          <w:noProof/>
          <w:sz w:val="20"/>
          <w:szCs w:val="20"/>
        </w:rPr>
      </w:pPr>
      <w:r w:rsidRPr="001975D5">
        <w:rPr>
          <w:rFonts w:ascii="Trebuchet MS" w:hAnsi="Trebuchet MS" w:cs="Arial"/>
          <w:b/>
          <w:noProof/>
          <w:sz w:val="20"/>
          <w:szCs w:val="20"/>
        </w:rPr>
        <w:lastRenderedPageBreak/>
        <w:t>2.1.</w:t>
      </w:r>
      <w:r w:rsidRPr="001975D5">
        <w:rPr>
          <w:rFonts w:ascii="Trebuchet MS" w:hAnsi="Trebuchet MS" w:cs="Arial"/>
          <w:b/>
          <w:noProof/>
          <w:sz w:val="20"/>
          <w:szCs w:val="20"/>
        </w:rPr>
        <w:tab/>
        <w:t>Osnove za vrednovanje</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Finansijski izvještaji Fonda su sastavljeni prema konceptu nabavne vrijednosti (istorijskog troška).</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ind w:left="567" w:hanging="567"/>
        <w:rPr>
          <w:rFonts w:ascii="Trebuchet MS" w:hAnsi="Trebuchet MS" w:cs="Arial"/>
          <w:b/>
          <w:noProof/>
          <w:sz w:val="20"/>
          <w:szCs w:val="20"/>
        </w:rPr>
      </w:pPr>
      <w:r w:rsidRPr="001975D5">
        <w:rPr>
          <w:rFonts w:ascii="Trebuchet MS" w:hAnsi="Trebuchet MS" w:cs="Arial"/>
          <w:b/>
          <w:noProof/>
          <w:sz w:val="20"/>
          <w:szCs w:val="20"/>
        </w:rPr>
        <w:t>2.2.</w:t>
      </w:r>
      <w:r w:rsidRPr="001975D5">
        <w:rPr>
          <w:rFonts w:ascii="Trebuchet MS" w:hAnsi="Trebuchet MS" w:cs="Arial"/>
          <w:b/>
          <w:noProof/>
          <w:sz w:val="20"/>
          <w:szCs w:val="20"/>
        </w:rPr>
        <w:tab/>
        <w:t>Funkcionalna valuta i valuta prezentacija</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Iznosi u priloženim finansijskim izveštajima su izraženi u Konvertibilnim markama (KM) koje predstavljaju funkcionalnu i zvaničnu izveštajnu valutu u Republici Srpskoj i Bosni i Hercegovini.</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spacing w:after="120"/>
        <w:rPr>
          <w:rFonts w:ascii="Calibri" w:hAnsi="Calibri" w:cs="Calibri"/>
          <w:b/>
          <w:i/>
          <w:noProof/>
          <w:lang w:val="sr-Latn-RS"/>
        </w:rPr>
      </w:pPr>
      <w:r w:rsidRPr="001975D5">
        <w:rPr>
          <w:rFonts w:ascii="Calibri" w:hAnsi="Calibri" w:cs="Calibri"/>
          <w:b/>
          <w:noProof/>
          <w:lang w:val="sr-Latn-RS"/>
        </w:rPr>
        <w:t>2.3.</w:t>
      </w:r>
      <w:r w:rsidRPr="001975D5">
        <w:rPr>
          <w:rFonts w:ascii="Calibri" w:hAnsi="Calibri" w:cs="Calibri"/>
          <w:b/>
          <w:noProof/>
          <w:lang w:val="sr-Latn-RS"/>
        </w:rPr>
        <w:tab/>
        <w:t>Uticaj i primjena novih revidiranih MRS/MSFI</w:t>
      </w:r>
    </w:p>
    <w:p w:rsidR="00321C8E" w:rsidRPr="001975D5" w:rsidRDefault="00321C8E" w:rsidP="00321C8E">
      <w:pPr>
        <w:outlineLvl w:val="0"/>
        <w:rPr>
          <w:rFonts w:ascii="Calibri" w:hAnsi="Calibri" w:cs="Calibri"/>
          <w:b/>
          <w:bCs/>
          <w:i/>
          <w:iCs/>
          <w:noProof/>
          <w:lang w:val="sr-Latn-RS"/>
        </w:rPr>
      </w:pPr>
      <w:bookmarkStart w:id="4" w:name="_Toc64534430"/>
      <w:r w:rsidRPr="001975D5">
        <w:rPr>
          <w:rFonts w:ascii="Calibri" w:hAnsi="Calibri" w:cs="Calibri"/>
          <w:b/>
          <w:bCs/>
          <w:i/>
          <w:iCs/>
          <w:noProof/>
          <w:lang w:val="sr-Latn-RS"/>
        </w:rPr>
        <w:t>(a)</w:t>
      </w:r>
      <w:r w:rsidRPr="001975D5">
        <w:rPr>
          <w:rFonts w:ascii="Calibri" w:hAnsi="Calibri" w:cs="Calibri"/>
          <w:b/>
          <w:bCs/>
          <w:i/>
          <w:iCs/>
          <w:noProof/>
          <w:lang w:val="sr-Latn-RS"/>
        </w:rPr>
        <w:tab/>
      </w:r>
      <w:r w:rsidRPr="001975D5">
        <w:rPr>
          <w:rFonts w:ascii="Calibri" w:hAnsi="Calibri" w:cs="Calibri"/>
          <w:b/>
          <w:i/>
          <w:iCs/>
          <w:noProof/>
          <w:lang w:val="sr-Latn-RS"/>
        </w:rPr>
        <w:t xml:space="preserve">Novi standardi, </w:t>
      </w:r>
      <w:r w:rsidRPr="001975D5">
        <w:rPr>
          <w:rFonts w:ascii="Calibri" w:hAnsi="Calibri" w:cs="Calibri"/>
          <w:b/>
          <w:i/>
          <w:noProof/>
          <w:lang w:val="sr-Latn-RS"/>
        </w:rPr>
        <w:t>tumačenja</w:t>
      </w:r>
      <w:r w:rsidRPr="001975D5">
        <w:rPr>
          <w:rFonts w:ascii="Calibri" w:hAnsi="Calibri" w:cs="Calibri"/>
          <w:b/>
          <w:i/>
          <w:iCs/>
          <w:noProof/>
          <w:lang w:val="sr-Latn-RS"/>
        </w:rPr>
        <w:t xml:space="preserve"> i izmjene postojećih standarda </w:t>
      </w:r>
      <w:r w:rsidRPr="001975D5">
        <w:rPr>
          <w:rFonts w:ascii="Calibri" w:hAnsi="Calibri" w:cs="Calibri"/>
          <w:b/>
          <w:bCs/>
          <w:i/>
          <w:iCs/>
          <w:noProof/>
          <w:lang w:val="sr-Latn-RS"/>
        </w:rPr>
        <w:t>na snazi u tekućem periodu koji su zvanično prevedeni i usvojeni u Republici Srpskoj</w:t>
      </w:r>
      <w:bookmarkEnd w:id="4"/>
    </w:p>
    <w:p w:rsidR="00321C8E" w:rsidRPr="001975D5" w:rsidRDefault="00321C8E" w:rsidP="00321C8E">
      <w:pPr>
        <w:rPr>
          <w:rFonts w:ascii="Calibri" w:hAnsi="Calibri" w:cs="Calibri"/>
          <w:noProof/>
          <w:lang w:val="sr-Latn-RS"/>
        </w:rPr>
      </w:pP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32 “Finansijski instrumenti: prezentacija” - Prebijanje finansijskih sredstava i finansijskih obaveza (na snazi za godišnje periode koji počinju na dan ili nakon 1. januara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10 „Konsolidovani finansijski izvještaji“, MSFI 12 i MRS 27 - Investicioni entiteti (na snazi za godišnje periode koji počinju na dan ili nakon 1. januara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 xml:space="preserve">Izmjene MRS 36 “Umanjenje vrijednosti imovine” - Objelodanjivanja o nadoknadivom iznosu nefinansijskih sredstava (na snazi za godišnje periode koji počinju na dan ili nakon 1. januara 2014. godine); </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39 “Finansijski instrumenti: priznavanje i odmjeravanje” – Novacija derivata i nastavak računovodstva hedžinga (na snazi za godišnje periode koji počinju na dan ili nakon 1. januara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IFRIC 21 “Dažbine” (na snazi za godišnje periode koji počinju na dan ili nakon 1. januara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 xml:space="preserve">Izmjene različitih standarda (MSFI 1, MSFI 3, MSFI 13 i MRS 40) koje su rezultat projekta godišnjeg unapređenja standarda, “Ciklus 2011-2013”, objavljenog od strane IASB-a u </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decembru 2013. godine, prvenstveno kroz otklanjanje nekonzistentnosti i pojašnjenje teksta (na snazi za godišnje periode koji počinju na dan ili nakon 1. jula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19 “Primanja zaposlenih” - Definisani planovi doprinosa (na snazi za godišnje periode koji počinju na dan ili nakon 1. jula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lastRenderedPageBreak/>
        <w:t>Izmjene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11 “Zajednički aranžmani” - Računovodstveno obuhvatanje sticanja interesa u zajedničkim aranžmanima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 „Prezentacija finansijskih izveštaja“ - Inicijativa u vezi objelodanjivanja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16 „Nekretnine, postrojenja i oprema“ i MRS 38 „Nematerijalna ulaganja“ - Pojašnjenje prihvatljivih metoda amortizacije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16 „Nekretnine, postrojenja i oprema“ i MRS 41 „Poljoprivreda“ - Poljoprivreda: Zasadi kao osnovna biološka sredstva (na snazi za godišnje periode koji počinju na dan ili nakon 1. januara 2016. godine);</w:t>
      </w:r>
    </w:p>
    <w:p w:rsidR="00321C8E" w:rsidRPr="001975D5" w:rsidRDefault="00321C8E" w:rsidP="00321C8E">
      <w:pPr>
        <w:pStyle w:val="BodySingle"/>
        <w:ind w:left="426" w:hanging="426"/>
        <w:jc w:val="both"/>
        <w:rPr>
          <w:rFonts w:ascii="Calibri" w:hAnsi="Calibri" w:cs="Calibri"/>
          <w:noProof/>
          <w:color w:val="auto"/>
          <w:lang w:val="sr-Latn-RS"/>
        </w:rPr>
      </w:pP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27 „Pojedinačni finansijski izvještaji“ - Metod udjela u pojedinačnim finansijskim izvještajima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28 „Ulaganja u pridružene entitete i zajedničke poduhvate“ i MSFI 10 „Konsolidovani finansijski izvještaji“ - Prodaja ili unos imovine između investitora i njegovog pridruženog entiteta ili zajedničkog poduhvata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Investicioni entiteti: Primjena izuzeća od konsolidovanja (izmjene MSFI 10, MSFI 12 I MRS 28)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MSFI 14 “Regulatorni računi razgraničenja”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12 “Porez na dobit” – Priznavanje odloženih poreskih sredstava za neiskorišćene gubitke (na snazi za godišnje periode koji počinju na dan ili nakon 1. januara 2017.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7 “Izvještaj o tokovima gotovine” – Inicijativa za objelodanjivanjima (na snazi za godišnje periode koji počinju na dan ili nakon 1. januara 2017.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12 “Porez na dobit” nastale kao rezultat godišnjeg projekta unapređenja standarda “Ciklus 2014 – 2016”, izdatim od strane IASB-a u decembru 2016. godine (na snazi za godišnje periode koji počinju na dan ili nakon 1. januara 2017.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Konceptualni okvir za finansijsko izvještavanje 2018 (izdat u martu 2018. godine, nema naveden datum promjene, prema tome, na snazi od momenta objavljivanja);</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40 “Investicione nekretnine” u vezi transfera investicionih nekretnina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2 “Plaćanja zasnovana na akcijama”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lastRenderedPageBreak/>
        <w:t>MSFI 9 “Finansijski instrumenti”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9, “Finansijski instrumenti”, u vezi opšteg računovodstva hedžinga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MSFI 15 “Prihodi iz ugovora sa klijentima”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15 “Prihodi iz ugovora sa klijentima”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4 “Ugovori o osiguranju” u vezi primjene MSFI 15 “Prihodi iz ugovora sa klijentima”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IFRIC 22 “Transakcije u stranoj valuti I razmatranje avansa” (na snazi za godišnje periode koji počinju na dan ili nakon 1. januara 2018. godine) i</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različitih standarda (MSFI 1 i MRS 28) nastalih kao rezultat godišnjeg projekta unapređenja standarda “Ciklus 2014 – 2016”, izdatim od strane IASB-a u decembru 2016. godine (na snazi za godišnje periode koji počinju na dan ili nakon 1. januara 2018. godine).</w:t>
      </w:r>
    </w:p>
    <w:p w:rsidR="00321C8E" w:rsidRPr="001975D5" w:rsidRDefault="00321C8E" w:rsidP="00321C8E">
      <w:pPr>
        <w:pStyle w:val="BodySingle"/>
        <w:jc w:val="both"/>
        <w:rPr>
          <w:rFonts w:ascii="Calibri" w:hAnsi="Calibri" w:cs="Calibri"/>
          <w:noProof/>
          <w:color w:val="auto"/>
          <w:lang w:val="sr-Latn-RS"/>
        </w:rPr>
      </w:pPr>
    </w:p>
    <w:p w:rsidR="00321C8E" w:rsidRPr="001975D5" w:rsidRDefault="00321C8E" w:rsidP="00321C8E">
      <w:pPr>
        <w:pStyle w:val="ListParagraph"/>
        <w:ind w:left="0"/>
        <w:rPr>
          <w:rFonts w:ascii="Calibri" w:hAnsi="Calibri" w:cs="Calibri"/>
          <w:b/>
          <w:noProof/>
          <w:szCs w:val="24"/>
          <w:lang w:val="sr-Latn-RS"/>
        </w:rPr>
      </w:pPr>
    </w:p>
    <w:p w:rsidR="00321C8E" w:rsidRPr="001975D5" w:rsidRDefault="00321C8E" w:rsidP="00321C8E">
      <w:pPr>
        <w:spacing w:after="120"/>
        <w:rPr>
          <w:rFonts w:ascii="Calibri" w:hAnsi="Calibri" w:cs="Calibri"/>
          <w:b/>
          <w:i/>
          <w:noProof/>
          <w:lang w:val="sr-Latn-RS"/>
        </w:rPr>
      </w:pPr>
      <w:r w:rsidRPr="001975D5">
        <w:rPr>
          <w:rFonts w:ascii="Calibri" w:hAnsi="Calibri" w:cs="Calibri"/>
          <w:b/>
          <w:noProof/>
          <w:lang w:val="sr-Latn-RS"/>
        </w:rPr>
        <w:t>2.3.</w:t>
      </w:r>
      <w:r w:rsidRPr="001975D5">
        <w:rPr>
          <w:rFonts w:ascii="Calibri" w:hAnsi="Calibri" w:cs="Calibri"/>
          <w:b/>
          <w:noProof/>
          <w:lang w:val="sr-Latn-RS"/>
        </w:rPr>
        <w:tab/>
        <w:t>Uticaj i primjena novih revidiranih MRS/MSFI (Nastavak)</w:t>
      </w:r>
    </w:p>
    <w:p w:rsidR="00321C8E" w:rsidRPr="001975D5" w:rsidRDefault="00321C8E" w:rsidP="00321C8E">
      <w:pPr>
        <w:outlineLvl w:val="0"/>
        <w:rPr>
          <w:rFonts w:ascii="Calibri" w:hAnsi="Calibri" w:cs="Calibri"/>
          <w:b/>
          <w:bCs/>
          <w:i/>
          <w:iCs/>
          <w:noProof/>
          <w:lang w:val="sr-Latn-RS"/>
        </w:rPr>
      </w:pPr>
      <w:bookmarkStart w:id="5" w:name="_Toc64534431"/>
      <w:r w:rsidRPr="001975D5">
        <w:rPr>
          <w:rFonts w:ascii="Calibri" w:hAnsi="Calibri" w:cs="Calibri"/>
          <w:b/>
          <w:bCs/>
          <w:i/>
          <w:iCs/>
          <w:noProof/>
          <w:lang w:val="sr-Latn-RS"/>
        </w:rPr>
        <w:t>(b)</w:t>
      </w:r>
      <w:r w:rsidRPr="001975D5">
        <w:rPr>
          <w:rFonts w:ascii="Calibri" w:hAnsi="Calibri" w:cs="Calibri"/>
          <w:b/>
          <w:bCs/>
          <w:i/>
          <w:iCs/>
          <w:noProof/>
          <w:lang w:val="sr-Latn-RS"/>
        </w:rPr>
        <w:tab/>
      </w:r>
      <w:r w:rsidRPr="001975D5">
        <w:rPr>
          <w:rFonts w:ascii="Calibri" w:hAnsi="Calibri" w:cs="Calibri"/>
          <w:b/>
          <w:i/>
          <w:iCs/>
          <w:noProof/>
          <w:lang w:val="sr-Latn-RS"/>
        </w:rPr>
        <w:t xml:space="preserve">Novi standardi, </w:t>
      </w:r>
      <w:r w:rsidRPr="001975D5">
        <w:rPr>
          <w:rFonts w:ascii="Calibri" w:hAnsi="Calibri" w:cs="Calibri"/>
          <w:b/>
          <w:i/>
          <w:noProof/>
          <w:lang w:val="sr-Latn-RS"/>
        </w:rPr>
        <w:t>tumačenja</w:t>
      </w:r>
      <w:r w:rsidRPr="001975D5">
        <w:rPr>
          <w:rFonts w:ascii="Calibri" w:hAnsi="Calibri" w:cs="Calibri"/>
          <w:b/>
          <w:i/>
          <w:iCs/>
          <w:noProof/>
          <w:lang w:val="sr-Latn-RS"/>
        </w:rPr>
        <w:t xml:space="preserve"> i izmjene postojećih standarda </w:t>
      </w:r>
      <w:r w:rsidRPr="001975D5">
        <w:rPr>
          <w:rFonts w:ascii="Calibri" w:hAnsi="Calibri" w:cs="Calibri"/>
          <w:b/>
          <w:bCs/>
          <w:i/>
          <w:iCs/>
          <w:noProof/>
          <w:lang w:val="sr-Latn-RS"/>
        </w:rPr>
        <w:t>na snazi u tekućem periodu      koji još uvijek nisu zvanično prevedeni i usvojeni u Republici Srpskoj (Nastavak)</w:t>
      </w:r>
      <w:bookmarkEnd w:id="5"/>
    </w:p>
    <w:p w:rsidR="00321C8E" w:rsidRPr="001975D5" w:rsidRDefault="00321C8E" w:rsidP="00321C8E">
      <w:pPr>
        <w:pStyle w:val="BodySingle"/>
        <w:jc w:val="both"/>
        <w:rPr>
          <w:rFonts w:ascii="Calibri" w:hAnsi="Calibri" w:cs="Calibri"/>
          <w:noProof/>
          <w:color w:val="auto"/>
          <w:lang w:val="sr-Latn-RS"/>
        </w:rPr>
      </w:pPr>
    </w:p>
    <w:p w:rsidR="00321C8E" w:rsidRPr="001975D5" w:rsidRDefault="00321C8E" w:rsidP="00321C8E">
      <w:pPr>
        <w:rPr>
          <w:rFonts w:ascii="Calibri" w:hAnsi="Calibri" w:cs="Calibri"/>
          <w:noProof/>
          <w:lang w:val="sr-Latn-RS"/>
        </w:rPr>
      </w:pPr>
      <w:r w:rsidRPr="001975D5">
        <w:rPr>
          <w:rFonts w:ascii="Calibri" w:hAnsi="Calibri" w:cs="Calibri"/>
          <w:noProof/>
          <w:lang w:val="sr-Latn-RS"/>
        </w:rPr>
        <w:t>Do datuma usvajanja priloženih finansijskih izvještaja, sljedeći MRS, MSFI i tumačenja koja su sastavni dio standarda, kao i njihove izmjene, izdati od strane Odbora za međunarodne računovodstvene standarde (IASB), odnosno Komiteta za tumačenje međunarodnog finansijskog izvještavanja (IFRIC), stupili su na snagu 1. januara 2020. godine i ranije i kao takvi bi trebalo da budu primjenljivi na finansijske izvještaje za 2020. godinu, ali pošto još uvijek nisu zvanično prevedeni i objavljeni od strane Ministarstva, nisu ni primjenjeni od strane Fonda:</w:t>
      </w:r>
    </w:p>
    <w:p w:rsidR="00321C8E" w:rsidRPr="001975D5" w:rsidRDefault="00321C8E" w:rsidP="00321C8E">
      <w:pPr>
        <w:pStyle w:val="BodySingle"/>
        <w:jc w:val="both"/>
        <w:rPr>
          <w:rFonts w:ascii="Calibri" w:hAnsi="Calibri" w:cs="Calibri"/>
          <w:noProof/>
          <w:color w:val="auto"/>
          <w:lang w:val="sr-Latn-RS"/>
        </w:rPr>
      </w:pP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MSFI 16 „Lizing“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IFRIC 23 „Neizvjesnosti u vezi tretmana poreza na dobitak“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Godišnja unapređenja MSFI „Ciklus 2015-2017“ – MSFI 3, MSFI 11, MRS 12 i MRS 23, objavljenog od strane IASB-a u decembru 2017. godine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9 „Finansijski instrumenti“ u vezi privremenih otplata sa negativnim kompenzacijama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lastRenderedPageBreak/>
        <w:t>Izmjene MRS 28 „Ulaganja u pridružene entitete i zajedničke poduhvate“ u vezi dugoročnih ulaganja u pridružene entitete i zajedničke poduhvate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19 „Primanja zaposlenih“ u vezi izmjena, smanjenja ili izmirenja plana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3 “Poslovne kombinacije“ u vezi definicije posla (na snazi za godišnje periode koji počinju na dan ili nakon 1. januara 2020.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 i MRS 8 u vezi definicije materijalnosti (na snazi za godišnje periode koji počinju na dan ili nakon 1. januara 2020.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2, MSFI 3, MSFI 6, MSFI 14, MRS 1, MRS 8, MRS 34, MRS 37, MRS 38, IFRIC 12, IFRIC 19, IFRIC 20, IFRIC 22, i SIC-32 zbog usaglašavanja sa novim Okvirom za finansijsko izveštavanje (na snazi za godišnje periode koji počinju na dan ili nakon 1. januara 2020.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9, MRS 39 i MSFI 7 – „Reforma referentnih kamatnih stopa“ (na snazi za godišnje periode koji počinju na dan ili nakon 01. januara 2020.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16 „Lizing“ vezano za COVID-19 – naknade zakupa (na snazi za godišnje periode koju počinju na dan ili nakon 01. januara 2020. godine).</w:t>
      </w:r>
    </w:p>
    <w:p w:rsidR="00321C8E" w:rsidRPr="001975D5" w:rsidRDefault="00321C8E" w:rsidP="00321C8E">
      <w:pPr>
        <w:pStyle w:val="BodySingle"/>
        <w:jc w:val="both"/>
        <w:rPr>
          <w:rFonts w:ascii="Calibri" w:hAnsi="Calibri" w:cs="Calibri"/>
          <w:noProof/>
          <w:color w:val="auto"/>
          <w:lang w:val="sr-Latn-RS"/>
        </w:rPr>
      </w:pPr>
    </w:p>
    <w:p w:rsidR="00321C8E" w:rsidRPr="001975D5" w:rsidRDefault="00321C8E" w:rsidP="00321C8E">
      <w:pPr>
        <w:rPr>
          <w:rFonts w:ascii="Calibri" w:hAnsi="Calibri" w:cs="Calibri"/>
          <w:b/>
          <w:noProof/>
        </w:rPr>
      </w:pPr>
      <w:r w:rsidRPr="001975D5">
        <w:rPr>
          <w:rFonts w:ascii="Calibri" w:hAnsi="Calibri" w:cs="Calibri"/>
          <w:b/>
          <w:noProof/>
        </w:rPr>
        <w:t>2.4.</w:t>
      </w:r>
      <w:r w:rsidRPr="001975D5">
        <w:rPr>
          <w:rFonts w:ascii="Calibri" w:hAnsi="Calibri" w:cs="Calibri"/>
          <w:b/>
          <w:noProof/>
        </w:rPr>
        <w:tab/>
        <w:t>Uporedni podaci</w:t>
      </w:r>
    </w:p>
    <w:p w:rsidR="00321C8E" w:rsidRPr="001975D5" w:rsidRDefault="00321C8E" w:rsidP="00321C8E">
      <w:pPr>
        <w:rPr>
          <w:rFonts w:ascii="Calibri" w:hAnsi="Calibri" w:cs="Calibri"/>
          <w:noProof/>
        </w:rPr>
      </w:pPr>
    </w:p>
    <w:p w:rsidR="00321C8E" w:rsidRPr="001975D5" w:rsidRDefault="00321C8E" w:rsidP="00321C8E">
      <w:pPr>
        <w:rPr>
          <w:rFonts w:ascii="Calibri" w:hAnsi="Calibri" w:cs="Calibri"/>
          <w:noProof/>
        </w:rPr>
      </w:pPr>
      <w:r w:rsidRPr="001975D5">
        <w:rPr>
          <w:rFonts w:ascii="Calibri" w:hAnsi="Calibri" w:cs="Calibri"/>
          <w:noProof/>
        </w:rPr>
        <w:t xml:space="preserve">Uporedne podatke čine podaci sadržani u finansijskim izvještajima za 2018. godinu, </w:t>
      </w:r>
      <w:proofErr w:type="spellStart"/>
      <w:r w:rsidRPr="001975D5">
        <w:rPr>
          <w:rFonts w:ascii="Calibri" w:hAnsi="Calibri" w:cs="Calibri"/>
        </w:rPr>
        <w:t>sastavljeni</w:t>
      </w:r>
      <w:proofErr w:type="spellEnd"/>
      <w:r w:rsidRPr="001975D5">
        <w:rPr>
          <w:rFonts w:ascii="Calibri" w:hAnsi="Calibri" w:cs="Calibri"/>
        </w:rPr>
        <w:t xml:space="preserve"> u </w:t>
      </w:r>
      <w:proofErr w:type="spellStart"/>
      <w:r w:rsidRPr="001975D5">
        <w:rPr>
          <w:rFonts w:ascii="Calibri" w:hAnsi="Calibri" w:cs="Calibri"/>
        </w:rPr>
        <w:t>skladu</w:t>
      </w:r>
      <w:proofErr w:type="spellEnd"/>
      <w:r w:rsidRPr="001975D5">
        <w:rPr>
          <w:rFonts w:ascii="Calibri" w:hAnsi="Calibri" w:cs="Calibri"/>
        </w:rPr>
        <w:t xml:space="preserve"> </w:t>
      </w:r>
      <w:proofErr w:type="spellStart"/>
      <w:proofErr w:type="gramStart"/>
      <w:r w:rsidRPr="001975D5">
        <w:rPr>
          <w:rFonts w:ascii="Calibri" w:hAnsi="Calibri" w:cs="Calibri"/>
        </w:rPr>
        <w:t>sa</w:t>
      </w:r>
      <w:proofErr w:type="spellEnd"/>
      <w:proofErr w:type="gramEnd"/>
      <w:r w:rsidRPr="001975D5">
        <w:rPr>
          <w:rFonts w:ascii="Calibri" w:hAnsi="Calibri" w:cs="Calibri"/>
        </w:rPr>
        <w:t xml:space="preserve"> </w:t>
      </w:r>
      <w:proofErr w:type="spellStart"/>
      <w:r w:rsidRPr="001975D5">
        <w:rPr>
          <w:rFonts w:ascii="Calibri" w:hAnsi="Calibri" w:cs="Calibri"/>
        </w:rPr>
        <w:t>računovodstvenim</w:t>
      </w:r>
      <w:proofErr w:type="spellEnd"/>
      <w:r w:rsidRPr="001975D5">
        <w:rPr>
          <w:rFonts w:ascii="Calibri" w:hAnsi="Calibri" w:cs="Calibri"/>
        </w:rPr>
        <w:t xml:space="preserve"> </w:t>
      </w:r>
      <w:proofErr w:type="spellStart"/>
      <w:r w:rsidRPr="001975D5">
        <w:rPr>
          <w:rFonts w:ascii="Calibri" w:hAnsi="Calibri" w:cs="Calibri"/>
        </w:rPr>
        <w:t>propisima</w:t>
      </w:r>
      <w:proofErr w:type="spellEnd"/>
      <w:r w:rsidRPr="001975D5">
        <w:rPr>
          <w:rFonts w:ascii="Calibri" w:hAnsi="Calibri" w:cs="Calibri"/>
        </w:rPr>
        <w:t xml:space="preserve"> </w:t>
      </w:r>
      <w:proofErr w:type="spellStart"/>
      <w:r w:rsidRPr="001975D5">
        <w:rPr>
          <w:rFonts w:ascii="Calibri" w:hAnsi="Calibri" w:cs="Calibri"/>
        </w:rPr>
        <w:t>važećim</w:t>
      </w:r>
      <w:proofErr w:type="spellEnd"/>
      <w:r w:rsidRPr="001975D5">
        <w:rPr>
          <w:rFonts w:ascii="Calibri" w:hAnsi="Calibri" w:cs="Calibri"/>
        </w:rPr>
        <w:t xml:space="preserve"> u </w:t>
      </w:r>
      <w:proofErr w:type="spellStart"/>
      <w:r w:rsidRPr="001975D5">
        <w:rPr>
          <w:rFonts w:ascii="Calibri" w:hAnsi="Calibri" w:cs="Calibri"/>
        </w:rPr>
        <w:t>Republici</w:t>
      </w:r>
      <w:proofErr w:type="spellEnd"/>
      <w:r w:rsidRPr="001975D5">
        <w:rPr>
          <w:rFonts w:ascii="Calibri" w:hAnsi="Calibri" w:cs="Calibri"/>
        </w:rPr>
        <w:t xml:space="preserve"> </w:t>
      </w:r>
      <w:proofErr w:type="spellStart"/>
      <w:r w:rsidRPr="001975D5">
        <w:rPr>
          <w:rFonts w:ascii="Calibri" w:hAnsi="Calibri" w:cs="Calibri"/>
        </w:rPr>
        <w:t>Srpskoj</w:t>
      </w:r>
      <w:proofErr w:type="spellEnd"/>
      <w:r w:rsidRPr="001975D5">
        <w:rPr>
          <w:rFonts w:ascii="Calibri" w:hAnsi="Calibri" w:cs="Calibri"/>
        </w:rPr>
        <w:t>.</w:t>
      </w:r>
    </w:p>
    <w:p w:rsidR="00321C8E" w:rsidRPr="001975D5" w:rsidRDefault="00321C8E" w:rsidP="00321C8E">
      <w:pPr>
        <w:shd w:val="clear" w:color="auto" w:fill="FFFFFF"/>
        <w:rPr>
          <w:rFonts w:ascii="Calibri" w:hAnsi="Calibri" w:cs="Calibri"/>
        </w:rPr>
      </w:pPr>
    </w:p>
    <w:p w:rsidR="00321C8E" w:rsidRPr="001975D5" w:rsidRDefault="00321C8E" w:rsidP="00321C8E">
      <w:pPr>
        <w:shd w:val="clear" w:color="auto" w:fill="FFFFFF"/>
        <w:rPr>
          <w:rFonts w:ascii="Calibri" w:hAnsi="Calibri" w:cs="Calibri"/>
        </w:rPr>
      </w:pPr>
    </w:p>
    <w:p w:rsidR="00321C8E" w:rsidRPr="001975D5" w:rsidRDefault="00321C8E" w:rsidP="00321C8E">
      <w:pPr>
        <w:rPr>
          <w:rFonts w:ascii="Calibri" w:hAnsi="Calibri" w:cs="Calibri"/>
          <w:b/>
          <w:noProof/>
        </w:rPr>
      </w:pPr>
      <w:r w:rsidRPr="001975D5">
        <w:rPr>
          <w:rFonts w:ascii="Calibri" w:hAnsi="Calibri" w:cs="Calibri"/>
          <w:b/>
          <w:noProof/>
        </w:rPr>
        <w:t>2.5.</w:t>
      </w:r>
      <w:r w:rsidRPr="001975D5">
        <w:rPr>
          <w:rFonts w:ascii="Calibri" w:hAnsi="Calibri" w:cs="Calibri"/>
          <w:b/>
          <w:noProof/>
        </w:rPr>
        <w:tab/>
        <w:t>Stalnost poslovanja</w:t>
      </w:r>
    </w:p>
    <w:p w:rsidR="00321C8E" w:rsidRPr="001975D5" w:rsidRDefault="00321C8E" w:rsidP="00321C8E">
      <w:pPr>
        <w:shd w:val="clear" w:color="auto" w:fill="FFFFFF"/>
        <w:rPr>
          <w:rFonts w:ascii="Calibri" w:hAnsi="Calibri" w:cs="Calibri"/>
        </w:rPr>
      </w:pPr>
    </w:p>
    <w:p w:rsidR="00321C8E" w:rsidRPr="001975D5" w:rsidRDefault="00321C8E" w:rsidP="00321C8E">
      <w:pPr>
        <w:rPr>
          <w:rFonts w:ascii="Calibri" w:hAnsi="Calibri" w:cs="Calibri"/>
          <w:noProof/>
        </w:rPr>
      </w:pPr>
      <w:r w:rsidRPr="001975D5">
        <w:rPr>
          <w:rFonts w:ascii="Calibri" w:hAnsi="Calibri" w:cs="Calibri"/>
          <w:noProof/>
        </w:rPr>
        <w:t xml:space="preserve">Finansijski izvještaji Fonda su sastavljeni u skladu sa načelom stalnosti poslovanja, koje podrazumijeva da će Fond nastaviti sa poslovanjem u doglednoj budućnosti, koja obuhvata period od najmanje dvanaest mjeseci od datuma finansijskih izvještaja. </w:t>
      </w:r>
    </w:p>
    <w:p w:rsidR="00321C8E" w:rsidRPr="001975D5" w:rsidRDefault="00321C8E" w:rsidP="00321C8E">
      <w:pPr>
        <w:shd w:val="clear" w:color="auto" w:fill="FFFFFF"/>
        <w:rPr>
          <w:rFonts w:ascii="Calibri" w:hAnsi="Calibri" w:cs="Calibri"/>
        </w:rPr>
      </w:pPr>
    </w:p>
    <w:p w:rsidR="00321C8E" w:rsidRPr="001975D5" w:rsidRDefault="00321C8E" w:rsidP="00321C8E">
      <w:pPr>
        <w:shd w:val="clear" w:color="auto" w:fill="FFFFFF"/>
        <w:rPr>
          <w:rFonts w:ascii="Calibri" w:hAnsi="Calibri" w:cs="Calibri"/>
        </w:rPr>
      </w:pPr>
    </w:p>
    <w:p w:rsidR="00321C8E" w:rsidRPr="001975D5" w:rsidRDefault="00321C8E" w:rsidP="00321C8E">
      <w:pPr>
        <w:rPr>
          <w:rFonts w:ascii="Calibri" w:hAnsi="Calibri" w:cs="Calibri"/>
          <w:b/>
          <w:noProof/>
        </w:rPr>
      </w:pPr>
      <w:r w:rsidRPr="001975D5">
        <w:rPr>
          <w:rFonts w:ascii="Calibri" w:hAnsi="Calibri" w:cs="Calibri"/>
          <w:b/>
          <w:noProof/>
        </w:rPr>
        <w:t>2.6.</w:t>
      </w:r>
      <w:r w:rsidRPr="001975D5">
        <w:rPr>
          <w:rFonts w:ascii="Calibri" w:hAnsi="Calibri" w:cs="Calibri"/>
          <w:b/>
          <w:noProof/>
        </w:rPr>
        <w:tab/>
        <w:t>Korišćenje procjenjivanja</w:t>
      </w:r>
    </w:p>
    <w:p w:rsidR="00321C8E" w:rsidRPr="001975D5" w:rsidRDefault="00321C8E" w:rsidP="00321C8E">
      <w:pPr>
        <w:rPr>
          <w:rFonts w:ascii="Calibri" w:hAnsi="Calibri" w:cs="Calibri"/>
          <w:noProof/>
        </w:rPr>
      </w:pPr>
    </w:p>
    <w:p w:rsidR="00321C8E" w:rsidRPr="001975D5" w:rsidRDefault="00321C8E" w:rsidP="00321C8E">
      <w:pPr>
        <w:rPr>
          <w:rFonts w:ascii="Calibri" w:hAnsi="Calibri" w:cs="Calibri"/>
          <w:noProof/>
        </w:rPr>
      </w:pPr>
      <w:r w:rsidRPr="001975D5">
        <w:rPr>
          <w:rFonts w:ascii="Calibri" w:hAnsi="Calibri" w:cs="Calibri"/>
          <w:noProof/>
        </w:rPr>
        <w:t xml:space="preserve">Sastavljanje finansijskih izvještaja u skladu sa MSFI zahtijeva primjenu izvjesnih ključnih računovodstvenih procjena. Ono, takođe, zahtijeva da rukovodstvo koristi svoje prosuđivanje u primjeni računovodstvenih politika Fonda. Ove procjene i pretpostavke su zasnovane na informacijama raspoloživim na dan sastavljanja finansijskih izvještaja. Stvarni rezultati mogu odstupati od ovih procjena. </w:t>
      </w:r>
    </w:p>
    <w:p w:rsidR="00321C8E" w:rsidRPr="001975D5" w:rsidRDefault="00321C8E" w:rsidP="00321C8E">
      <w:pPr>
        <w:rPr>
          <w:rFonts w:ascii="Calibri" w:hAnsi="Calibri" w:cs="Calibri"/>
          <w:noProof/>
        </w:rPr>
      </w:pPr>
    </w:p>
    <w:p w:rsidR="00321C8E" w:rsidRPr="001975D5" w:rsidRDefault="00321C8E" w:rsidP="00321C8E">
      <w:pPr>
        <w:pStyle w:val="BodySingle"/>
        <w:jc w:val="both"/>
        <w:rPr>
          <w:rFonts w:ascii="Calibri" w:hAnsi="Calibri" w:cs="Calibri"/>
          <w:noProof/>
          <w:color w:val="auto"/>
          <w:lang w:val="sr-Latn-RS"/>
        </w:rPr>
      </w:pPr>
      <w:r w:rsidRPr="001975D5">
        <w:rPr>
          <w:rFonts w:ascii="Calibri" w:hAnsi="Calibri" w:cs="Calibri"/>
          <w:noProof/>
          <w:color w:val="auto"/>
        </w:rPr>
        <w:t xml:space="preserve">Procjene, kao i pretpostavke na osnovu kojih su izvršene procjene, predmet su redovnih provjera. Ukoliko se putem provjera utvrdi da je došlo do promjene u procijenjenoj vrijednosti, utvrđeni efekti se priznaju u finansijskim izvještajima u periodu kada je do promjene došlo. Oblasti koje zahtijevaju prosuđivanje većeg stepena ili veće složenosti, </w:t>
      </w:r>
      <w:r w:rsidRPr="001975D5">
        <w:rPr>
          <w:rFonts w:ascii="Calibri" w:hAnsi="Calibri" w:cs="Calibri"/>
          <w:noProof/>
          <w:color w:val="auto"/>
        </w:rPr>
        <w:lastRenderedPageBreak/>
        <w:t>odnosno oblasti u kojima pretpostavke i procjene imaju materijalni značaj za finansijske izvještaje objelodanjene su u Napomeni 4.</w:t>
      </w:r>
    </w:p>
    <w:p w:rsidR="00F33B00" w:rsidRDefault="00F33B00" w:rsidP="00073CB9">
      <w:pPr>
        <w:pStyle w:val="Header"/>
        <w:suppressAutoHyphens/>
        <w:jc w:val="both"/>
        <w:rPr>
          <w:rFonts w:ascii="Calibri" w:hAnsi="Calibri" w:cs="Calibri"/>
          <w:sz w:val="24"/>
          <w:szCs w:val="24"/>
          <w:lang w:val="sr-Latn-CS" w:eastAsia="en-US"/>
        </w:rPr>
      </w:pPr>
    </w:p>
    <w:p w:rsidR="006D6EB6" w:rsidRPr="00321C8E" w:rsidRDefault="006D6EB6" w:rsidP="00321C8E">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jc w:val="both"/>
        <w:rPr>
          <w:rFonts w:ascii="Calibri" w:hAnsi="Calibri" w:cs="Calibri"/>
          <w:noProof/>
          <w:lang w:val="sr-Latn-BA"/>
        </w:rPr>
      </w:pPr>
    </w:p>
    <w:p w:rsidR="006D6EB6" w:rsidRPr="00A47E7E" w:rsidRDefault="006D6EB6" w:rsidP="00B64A52">
      <w:pPr>
        <w:pStyle w:val="Heading1"/>
        <w:rPr>
          <w:rFonts w:ascii="Calibri" w:hAnsi="Calibri" w:cs="Calibri"/>
          <w:noProof/>
          <w:sz w:val="24"/>
          <w:szCs w:val="24"/>
        </w:rPr>
      </w:pPr>
      <w:bookmarkStart w:id="6" w:name="_Toc64534432"/>
      <w:r w:rsidRPr="00A47E7E">
        <w:rPr>
          <w:rFonts w:ascii="Calibri" w:hAnsi="Calibri" w:cs="Calibri"/>
          <w:noProof/>
          <w:sz w:val="24"/>
          <w:szCs w:val="24"/>
        </w:rPr>
        <w:t>PREGLED ZNAČAJNIH RAČUNOVODSTVENIH POLITIKA</w:t>
      </w:r>
      <w:bookmarkEnd w:id="6"/>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7" w:name="_Toc64534433"/>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7"/>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kamata na hartije od vrijednosti ("HoV")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Udruženje društava za upravljanje investicionim fondovima (u okviru Privredne komore Republike Srpske) se obratilo Savjetu za računovodstvo i reviziju Republike Srpske radi </w:t>
      </w:r>
      <w:r w:rsidRPr="00A47E7E">
        <w:rPr>
          <w:rFonts w:ascii="Calibri" w:hAnsi="Calibri" w:cs="Calibri"/>
          <w:noProof/>
        </w:rPr>
        <w:lastRenderedPageBreak/>
        <w:t>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8" w:name="_Toc64534434"/>
      <w:r w:rsidRPr="00A47E7E">
        <w:rPr>
          <w:rFonts w:ascii="Calibri" w:hAnsi="Calibri" w:cs="Calibri"/>
          <w:noProof/>
          <w:sz w:val="24"/>
          <w:szCs w:val="24"/>
        </w:rPr>
        <w:t>Poslovni</w:t>
      </w:r>
      <w:r w:rsidR="006D6EB6" w:rsidRPr="00A47E7E">
        <w:rPr>
          <w:rFonts w:ascii="Calibri" w:hAnsi="Calibri" w:cs="Calibri"/>
          <w:noProof/>
          <w:sz w:val="24"/>
          <w:szCs w:val="24"/>
        </w:rPr>
        <w:t xml:space="preserve"> rashodi</w:t>
      </w:r>
      <w:bookmarkEnd w:id="8"/>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w:t>
      </w:r>
      <w:r w:rsidR="00A43961">
        <w:rPr>
          <w:rFonts w:ascii="Calibri" w:hAnsi="Calibri" w:cs="Calibri"/>
          <w:noProof/>
        </w:rPr>
        <w:t xml:space="preserve">ru, naknade Registru </w:t>
      </w:r>
      <w:r w:rsidRPr="00A47E7E">
        <w:rPr>
          <w:rFonts w:ascii="Calibri" w:hAnsi="Calibri" w:cs="Calibri"/>
          <w:noProof/>
        </w:rPr>
        <w:t>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w:t>
      </w:r>
      <w:r w:rsidR="00C454BF">
        <w:rPr>
          <w:rFonts w:ascii="Calibri" w:hAnsi="Calibri" w:cs="Calibri"/>
          <w:noProof/>
        </w:rPr>
        <w:t>,</w:t>
      </w:r>
      <w:r w:rsidR="003320F5" w:rsidRPr="00A47E7E">
        <w:rPr>
          <w:rFonts w:ascii="Calibri" w:hAnsi="Calibri" w:cs="Calibri"/>
          <w:noProof/>
        </w:rPr>
        <w:t xml:space="preserve"> a koje potvrđuje Banka depozitar</w:t>
      </w:r>
      <w:r w:rsidRPr="00A47E7E">
        <w:rPr>
          <w:rFonts w:ascii="Calibri" w:hAnsi="Calibri" w:cs="Calibri"/>
          <w:noProof/>
        </w:rPr>
        <w:t xml:space="preserve">. Visina naknade za upravljanjem fondom obračunavala se </w:t>
      </w:r>
      <w:r w:rsidR="00C454BF">
        <w:rPr>
          <w:rFonts w:ascii="Calibri" w:hAnsi="Calibri" w:cs="Calibri"/>
          <w:noProof/>
        </w:rPr>
        <w:t>po stopi od 2,8 % neto vrijednosti imovine fonda (čl. 94 Zakon</w:t>
      </w:r>
      <w:r w:rsidR="00117CEE">
        <w:rPr>
          <w:rFonts w:ascii="Calibri" w:hAnsi="Calibri" w:cs="Calibri"/>
          <w:noProof/>
        </w:rPr>
        <w:t>a) zaključno sa danom</w:t>
      </w:r>
      <w:r w:rsidR="0019253A">
        <w:rPr>
          <w:rFonts w:ascii="Calibri" w:hAnsi="Calibri" w:cs="Calibri"/>
          <w:noProof/>
        </w:rPr>
        <w:t xml:space="preserve"> 30.06</w:t>
      </w:r>
      <w:r w:rsidR="00C87210">
        <w:rPr>
          <w:rFonts w:ascii="Calibri" w:hAnsi="Calibri" w:cs="Calibri"/>
          <w:noProof/>
        </w:rPr>
        <w:t>.2021</w:t>
      </w:r>
      <w:r w:rsidR="00C454BF">
        <w:rPr>
          <w:rFonts w:ascii="Calibri" w:hAnsi="Calibri" w:cs="Calibri"/>
          <w:noProof/>
        </w:rPr>
        <w:t>. god.</w:t>
      </w:r>
    </w:p>
    <w:p w:rsidR="00C454BF" w:rsidRPr="00A47E7E" w:rsidRDefault="00C454BF"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9" w:name="_Toc64534435"/>
      <w:r w:rsidRPr="00A47E7E">
        <w:rPr>
          <w:rFonts w:ascii="Calibri" w:hAnsi="Calibri" w:cs="Calibri"/>
          <w:noProof/>
          <w:sz w:val="24"/>
          <w:szCs w:val="24"/>
        </w:rPr>
        <w:t>Ostali prihodi i rashodi</w:t>
      </w:r>
      <w:bookmarkEnd w:id="9"/>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w:t>
      </w:r>
      <w:r w:rsidRPr="00A47E7E">
        <w:rPr>
          <w:rFonts w:ascii="Calibri" w:hAnsi="Calibri" w:cs="Calibri"/>
          <w:noProof/>
          <w:sz w:val="24"/>
          <w:szCs w:val="24"/>
          <w:lang w:val="sr-Latn-BA"/>
        </w:rPr>
        <w:lastRenderedPageBreak/>
        <w:t>imovine, troškove vođenja registra udjela, uključujući troškove izdavanja potvrda o transakciji</w:t>
      </w:r>
      <w:r w:rsidR="00754AD3">
        <w:rPr>
          <w:rFonts w:ascii="Calibri" w:hAnsi="Calibri" w:cs="Calibri"/>
          <w:noProof/>
          <w:sz w:val="24"/>
          <w:szCs w:val="24"/>
          <w:lang w:val="sr-Latn-BA"/>
        </w:rPr>
        <w:t xml:space="preserve"> udjela</w:t>
      </w:r>
      <w:r w:rsidRPr="00A47E7E">
        <w:rPr>
          <w:rFonts w:ascii="Calibri" w:hAnsi="Calibri" w:cs="Calibri"/>
          <w:noProof/>
          <w:sz w:val="24"/>
          <w:szCs w:val="24"/>
          <w:lang w:val="sr-Latn-BA"/>
        </w:rPr>
        <w:t xml:space="preserve">, ako je to potrebno, te troškove isplate udjela u dobiti, troškove godišnje revizije, </w:t>
      </w:r>
      <w:r w:rsidR="003320F5" w:rsidRPr="00A47E7E">
        <w:rPr>
          <w:rFonts w:ascii="Calibri" w:hAnsi="Calibri" w:cs="Calibri"/>
          <w:noProof/>
          <w:sz w:val="24"/>
          <w:szCs w:val="24"/>
          <w:lang w:val="sr-Latn-BA"/>
        </w:rPr>
        <w:t xml:space="preserve"> 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19253A">
        <w:rPr>
          <w:rFonts w:ascii="Calibri" w:hAnsi="Calibri" w:cs="Calibri"/>
          <w:noProof/>
          <w:sz w:val="24"/>
          <w:szCs w:val="24"/>
          <w:lang w:val="sr-Latn-BA"/>
        </w:rPr>
        <w:t>Pokazatelj troškova na dan 30</w:t>
      </w:r>
      <w:r w:rsidR="003320F5" w:rsidRPr="00A47E7E">
        <w:rPr>
          <w:rFonts w:ascii="Calibri" w:hAnsi="Calibri" w:cs="Calibri"/>
          <w:noProof/>
          <w:sz w:val="24"/>
          <w:szCs w:val="24"/>
          <w:lang w:val="sr-Latn-BA"/>
        </w:rPr>
        <w:t xml:space="preserve">. </w:t>
      </w:r>
      <w:r w:rsidR="0019253A">
        <w:rPr>
          <w:rFonts w:ascii="Calibri" w:hAnsi="Calibri" w:cs="Calibri"/>
          <w:noProof/>
          <w:sz w:val="24"/>
          <w:szCs w:val="24"/>
          <w:lang w:val="sr-Latn-BA"/>
        </w:rPr>
        <w:t>jun</w:t>
      </w:r>
      <w:r w:rsidR="00B40C98">
        <w:rPr>
          <w:rFonts w:ascii="Calibri" w:hAnsi="Calibri" w:cs="Calibri"/>
          <w:noProof/>
          <w:sz w:val="24"/>
          <w:szCs w:val="24"/>
          <w:lang w:val="sr-Latn-BA"/>
        </w:rPr>
        <w:t xml:space="preserve"> 2021</w:t>
      </w:r>
      <w:r w:rsidR="003320F5" w:rsidRPr="00A47E7E">
        <w:rPr>
          <w:rFonts w:ascii="Calibri" w:hAnsi="Calibri" w:cs="Calibri"/>
          <w:noProof/>
          <w:sz w:val="24"/>
          <w:szCs w:val="24"/>
          <w:lang w:val="sr-Latn-BA"/>
        </w:rPr>
        <w:t xml:space="preserve">. godine iznosi </w:t>
      </w:r>
      <w:r w:rsidR="00F066A6" w:rsidRPr="0019253A">
        <w:rPr>
          <w:rFonts w:ascii="Calibri" w:hAnsi="Calibri" w:cs="Calibri"/>
          <w:noProof/>
          <w:sz w:val="24"/>
          <w:szCs w:val="24"/>
          <w:highlight w:val="yellow"/>
          <w:lang w:val="sr-Latn-BA"/>
        </w:rPr>
        <w:t>3,</w:t>
      </w:r>
      <w:r w:rsidR="00B40C98" w:rsidRPr="0019253A">
        <w:rPr>
          <w:rFonts w:ascii="Calibri" w:hAnsi="Calibri" w:cs="Calibri"/>
          <w:noProof/>
          <w:sz w:val="24"/>
          <w:szCs w:val="24"/>
          <w:highlight w:val="yellow"/>
          <w:lang w:val="sr-Latn-BA"/>
        </w:rPr>
        <w:t>47</w:t>
      </w:r>
      <w:r w:rsidR="00773132" w:rsidRPr="0019253A">
        <w:rPr>
          <w:rFonts w:ascii="Calibri" w:hAnsi="Calibri" w:cs="Calibri"/>
          <w:noProof/>
          <w:sz w:val="24"/>
          <w:szCs w:val="24"/>
          <w:highlight w:val="yellow"/>
          <w:lang w:val="sr-Latn-BA"/>
        </w:rPr>
        <w:t xml:space="preserve"> </w:t>
      </w:r>
      <w:r w:rsidR="003320F5" w:rsidRPr="0019253A">
        <w:rPr>
          <w:rFonts w:ascii="Calibri" w:hAnsi="Calibri" w:cs="Calibri"/>
          <w:noProof/>
          <w:sz w:val="24"/>
          <w:szCs w:val="24"/>
          <w:highlight w:val="yellow"/>
          <w:lang w:val="sr-Latn-BA"/>
        </w:rPr>
        <w:t>%</w:t>
      </w:r>
      <w:r w:rsidR="003320F5" w:rsidRPr="00A47E7E">
        <w:rPr>
          <w:rFonts w:ascii="Calibri" w:hAnsi="Calibri" w:cs="Calibri"/>
          <w:noProof/>
          <w:sz w:val="24"/>
          <w:szCs w:val="24"/>
          <w:lang w:val="sr-Latn-BA"/>
        </w:rPr>
        <w:t xml:space="preserve"> prosječne godišnje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0" w:name="_Toc64534436"/>
      <w:r w:rsidRPr="00A47E7E">
        <w:rPr>
          <w:rFonts w:ascii="Calibri" w:hAnsi="Calibri" w:cs="Calibri"/>
          <w:noProof/>
          <w:sz w:val="24"/>
          <w:szCs w:val="24"/>
        </w:rPr>
        <w:t>Finansijska imovina</w:t>
      </w:r>
      <w:bookmarkEnd w:id="10"/>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w:t>
      </w:r>
      <w:r w:rsidRPr="00A206D3">
        <w:rPr>
          <w:rFonts w:ascii="Calibri" w:hAnsi="Calibri" w:cs="Calibri"/>
          <w:noProof/>
          <w:sz w:val="24"/>
          <w:szCs w:val="24"/>
          <w:lang w:val="sr-Latn-BA"/>
        </w:rPr>
        <w:t xml:space="preserve">imovina </w:t>
      </w:r>
      <w:r w:rsidR="00A206D3" w:rsidRPr="00A206D3">
        <w:rPr>
          <w:rFonts w:ascii="Calibri" w:hAnsi="Calibri" w:cs="Calibri"/>
          <w:noProof/>
          <w:sz w:val="24"/>
          <w:szCs w:val="24"/>
          <w:lang w:val="sr-Latn-BA"/>
        </w:rPr>
        <w:t>''po fer vrijednosti kroz ostalu sveobuhvatnu dobit</w:t>
      </w:r>
      <w:r w:rsidRPr="00A206D3">
        <w:rPr>
          <w:rFonts w:ascii="Calibri" w:hAnsi="Calibri" w:cs="Calibri"/>
          <w:noProof/>
          <w:sz w:val="24"/>
          <w:szCs w:val="24"/>
          <w:lang w:val="sr-Latn-BA"/>
        </w:rPr>
        <w:t>'', ''u posjedu do dospijeća'', te ''dati krediti i potraživanja''. Klasifikacija</w:t>
      </w:r>
      <w:r w:rsidRPr="00A47E7E">
        <w:rPr>
          <w:rFonts w:ascii="Calibri" w:hAnsi="Calibri" w:cs="Calibri"/>
          <w:noProof/>
          <w:sz w:val="24"/>
          <w:szCs w:val="24"/>
          <w:lang w:val="sr-Latn-BA"/>
        </w:rPr>
        <w:t xml:space="preserve">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A206D3" w:rsidRPr="00A47E7E" w:rsidRDefault="00A206D3" w:rsidP="00A206D3">
      <w:pPr>
        <w:pStyle w:val="Header"/>
        <w:suppressAutoHyphens/>
        <w:jc w:val="both"/>
        <w:rPr>
          <w:rFonts w:ascii="Calibri" w:hAnsi="Calibri" w:cs="Calibri"/>
          <w:i/>
          <w:noProof/>
          <w:sz w:val="24"/>
          <w:szCs w:val="24"/>
          <w:lang w:val="sr-Latn-BA"/>
        </w:rPr>
      </w:pPr>
      <w:r w:rsidRPr="00321799">
        <w:rPr>
          <w:rFonts w:ascii="Calibri" w:hAnsi="Calibri" w:cs="Calibri"/>
          <w:i/>
          <w:noProof/>
          <w:sz w:val="24"/>
          <w:szCs w:val="24"/>
          <w:lang w:val="sr-Latn-BA"/>
        </w:rPr>
        <w:t>Finansijska sredstva po</w:t>
      </w:r>
      <w:r>
        <w:rPr>
          <w:rFonts w:ascii="Calibri" w:hAnsi="Calibri" w:cs="Calibri"/>
          <w:i/>
          <w:noProof/>
          <w:sz w:val="24"/>
          <w:szCs w:val="24"/>
          <w:lang w:val="sr-Latn-BA"/>
        </w:rPr>
        <w:t xml:space="preserve"> fer vrijednosti kroz ostalu sveobuhvatnu dobit </w:t>
      </w:r>
      <w:r w:rsidRPr="00A47E7E">
        <w:rPr>
          <w:rFonts w:ascii="Calibri" w:hAnsi="Calibri" w:cs="Calibri"/>
          <w:i/>
          <w:noProof/>
          <w:sz w:val="24"/>
          <w:szCs w:val="24"/>
          <w:lang w:val="sr-Latn-BA"/>
        </w:rPr>
        <w:t xml:space="preserve"> </w:t>
      </w:r>
    </w:p>
    <w:p w:rsidR="00A206D3" w:rsidRDefault="00A206D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kao "raspoloživ za prodaju", koji se javlja kao posljedica promjene fer vrijednosti finansijskog sredstva, se priznaje direktno u 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Default="00F35B23" w:rsidP="00F35B23">
      <w:pPr>
        <w:pStyle w:val="Header"/>
        <w:suppressAutoHyphens/>
        <w:jc w:val="both"/>
        <w:rPr>
          <w:rFonts w:ascii="Calibri" w:hAnsi="Calibri" w:cs="Calibri"/>
          <w:noProof/>
          <w:sz w:val="24"/>
          <w:szCs w:val="24"/>
          <w:lang w:val="sr-Latn-BA"/>
        </w:rPr>
      </w:pPr>
    </w:p>
    <w:p w:rsidR="00A206D3" w:rsidRPr="006B6386" w:rsidRDefault="00A206D3" w:rsidP="00A206D3">
      <w:pPr>
        <w:pStyle w:val="Header"/>
        <w:suppressAutoHyphens/>
        <w:jc w:val="both"/>
        <w:rPr>
          <w:rFonts w:ascii="Calibri" w:hAnsi="Calibri" w:cs="Calibri"/>
          <w:i/>
          <w:noProof/>
          <w:sz w:val="24"/>
          <w:szCs w:val="24"/>
          <w:lang w:val="sr-Latn-BA"/>
        </w:rPr>
      </w:pPr>
      <w:r w:rsidRPr="006B6386">
        <w:rPr>
          <w:rFonts w:ascii="Calibri" w:hAnsi="Calibri" w:cs="Calibri"/>
          <w:i/>
          <w:noProof/>
          <w:sz w:val="24"/>
          <w:szCs w:val="24"/>
          <w:lang w:val="sr-Latn-BA"/>
        </w:rPr>
        <w:t>Finansijska sredstva koja se odmjeravaju po amortizovanom trošku</w:t>
      </w:r>
    </w:p>
    <w:p w:rsidR="00A206D3" w:rsidRDefault="00A206D3" w:rsidP="00F35B23">
      <w:pPr>
        <w:pStyle w:val="Header"/>
        <w:suppressAutoHyphens/>
        <w:jc w:val="both"/>
        <w:rPr>
          <w:rFonts w:ascii="Calibri" w:hAnsi="Calibri" w:cs="Calibri"/>
          <w:noProof/>
          <w:sz w:val="24"/>
          <w:szCs w:val="24"/>
          <w:lang w:val="sr-Latn-BA"/>
        </w:rPr>
      </w:pPr>
    </w:p>
    <w:p w:rsidR="00A206D3" w:rsidRPr="006B6386" w:rsidRDefault="00A206D3" w:rsidP="00A206D3">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Finansijsku imovinu treba mjeriti po amortizovanom trošku ako su ispunjena oba slijedeća navedena uslova:</w:t>
      </w:r>
    </w:p>
    <w:p w:rsidR="00A206D3" w:rsidRPr="006B6386" w:rsidRDefault="00A206D3" w:rsidP="00A206D3">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(a) finansijska imovinu se drži unutar poslovnog modela čiji je cilj držanje finansijske imovine kako bi se naplatili ugovoreni novčani tokovi i</w:t>
      </w:r>
    </w:p>
    <w:p w:rsidR="00A206D3" w:rsidRPr="006B6386" w:rsidRDefault="00A206D3" w:rsidP="00A206D3">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(b) ugovorenim uslovima finansijske imovine nastaju na određeni datum novčani tokovi koji su samo plaćanja glavnice i kamate na glavnicu.</w:t>
      </w:r>
    </w:p>
    <w:p w:rsidR="00A206D3" w:rsidRDefault="00A206D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Ulaganja Fonda se sastoje od ulaganja u akcije, ulaganja u </w:t>
      </w:r>
      <w:r w:rsidR="000F7C72">
        <w:rPr>
          <w:rFonts w:ascii="Calibri" w:hAnsi="Calibri" w:cs="Calibri"/>
          <w:noProof/>
          <w:sz w:val="24"/>
          <w:szCs w:val="24"/>
          <w:lang w:val="sr-Latn-BA"/>
        </w:rPr>
        <w:t xml:space="preserve">obveznice. </w:t>
      </w: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2A6882" w:rsidRPr="00A47E7E" w:rsidRDefault="002A6882" w:rsidP="00F35B23">
      <w:pPr>
        <w:pStyle w:val="Header"/>
        <w:suppressAutoHyphens/>
        <w:jc w:val="both"/>
        <w:rPr>
          <w:rFonts w:ascii="Calibri" w:hAnsi="Calibri" w:cs="Calibri"/>
          <w:noProof/>
          <w:sz w:val="24"/>
          <w:szCs w:val="24"/>
          <w:lang w:val="sr-Latn-BA"/>
        </w:rPr>
      </w:pPr>
    </w:p>
    <w:p w:rsidR="0078483D" w:rsidRDefault="0078483D" w:rsidP="0078483D">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Republici Srpskoj i u Federaciji Bosne i Hercegovine  obračunava se primjenom prosječne ponderisane cijene ost</w:t>
      </w:r>
      <w:r>
        <w:rPr>
          <w:rFonts w:ascii="Calibri" w:hAnsi="Calibri" w:cs="Calibri"/>
          <w:noProof/>
          <w:sz w:val="24"/>
          <w:szCs w:val="24"/>
          <w:lang w:val="sr-Latn-BA"/>
        </w:rPr>
        <w:t>varene za transakcije na berzi u posljednjih 10 dana od kada je bilo trgovanja određenom vlasičkom</w:t>
      </w:r>
      <w:r w:rsidRPr="00660C00">
        <w:rPr>
          <w:rFonts w:ascii="Calibri" w:hAnsi="Calibri" w:cs="Calibri"/>
          <w:noProof/>
          <w:sz w:val="24"/>
          <w:szCs w:val="24"/>
          <w:lang w:val="sr-Latn-BA"/>
        </w:rPr>
        <w:t xml:space="preserve"> </w:t>
      </w:r>
      <w:r>
        <w:rPr>
          <w:rFonts w:ascii="Calibri" w:hAnsi="Calibri" w:cs="Calibri"/>
          <w:noProof/>
          <w:sz w:val="24"/>
          <w:szCs w:val="24"/>
          <w:lang w:val="sr-Latn-BA"/>
        </w:rPr>
        <w:t>hov u posljednjoj godini dana</w:t>
      </w:r>
      <w:r w:rsidRPr="00A47E7E">
        <w:rPr>
          <w:rFonts w:ascii="Calibri" w:hAnsi="Calibri" w:cs="Calibri"/>
          <w:noProof/>
          <w:sz w:val="24"/>
          <w:szCs w:val="24"/>
          <w:lang w:val="sr-Latn-BA"/>
        </w:rPr>
        <w:t xml:space="preserve">, a </w:t>
      </w:r>
      <w:r>
        <w:rPr>
          <w:rFonts w:ascii="Calibri" w:hAnsi="Calibri" w:cs="Calibri"/>
          <w:noProof/>
          <w:sz w:val="24"/>
          <w:szCs w:val="24"/>
          <w:lang w:val="sr-Latn-BA"/>
        </w:rPr>
        <w:t>zaokružuje se na četiri decimalna mjesta</w:t>
      </w:r>
      <w:r w:rsidRPr="00A47E7E">
        <w:rPr>
          <w:rFonts w:ascii="Calibri" w:hAnsi="Calibri" w:cs="Calibri"/>
          <w:noProof/>
          <w:sz w:val="24"/>
          <w:szCs w:val="24"/>
          <w:lang w:val="sr-Latn-BA"/>
        </w:rPr>
        <w:t xml:space="preserve">. U slučaju </w:t>
      </w:r>
      <w:r>
        <w:rPr>
          <w:rFonts w:ascii="Calibri" w:hAnsi="Calibri" w:cs="Calibri"/>
          <w:noProof/>
          <w:sz w:val="24"/>
          <w:szCs w:val="24"/>
          <w:lang w:val="sr-Latn-BA"/>
        </w:rPr>
        <w:t>da nije bilo 10 dana trgovanja u posljednjih godinu dana ver vrijednost se utvrđuje u iznosu koji je manji od sljedeće dvije vrijednosti:</w:t>
      </w:r>
    </w:p>
    <w:p w:rsidR="0078483D" w:rsidRDefault="0078483D" w:rsidP="0078483D">
      <w:pPr>
        <w:pStyle w:val="Header"/>
        <w:numPr>
          <w:ilvl w:val="0"/>
          <w:numId w:val="42"/>
        </w:numPr>
        <w:suppressAutoHyphens/>
        <w:jc w:val="both"/>
        <w:rPr>
          <w:rFonts w:ascii="Calibri" w:hAnsi="Calibri" w:cs="Calibri"/>
          <w:noProof/>
          <w:sz w:val="24"/>
          <w:szCs w:val="24"/>
          <w:lang w:val="sr-Latn-BA"/>
        </w:rPr>
      </w:pPr>
      <w:r>
        <w:rPr>
          <w:rFonts w:ascii="Calibri" w:hAnsi="Calibri" w:cs="Calibri"/>
          <w:noProof/>
          <w:sz w:val="24"/>
          <w:szCs w:val="24"/>
          <w:lang w:val="sr-Latn-BA"/>
        </w:rPr>
        <w:t>procijenjenoj vrijednosti utvrđene  u skaldu sa „Pravilnikom“</w:t>
      </w:r>
    </w:p>
    <w:p w:rsidR="0078483D" w:rsidRDefault="0078483D" w:rsidP="0078483D">
      <w:pPr>
        <w:pStyle w:val="Header"/>
        <w:numPr>
          <w:ilvl w:val="0"/>
          <w:numId w:val="42"/>
        </w:numPr>
        <w:suppressAutoHyphens/>
        <w:jc w:val="both"/>
        <w:rPr>
          <w:rFonts w:ascii="Calibri" w:hAnsi="Calibri" w:cs="Calibri"/>
          <w:noProof/>
          <w:sz w:val="24"/>
          <w:szCs w:val="24"/>
          <w:lang w:val="sr-Latn-BA"/>
        </w:rPr>
      </w:pPr>
      <w:r>
        <w:rPr>
          <w:rFonts w:ascii="Calibri" w:hAnsi="Calibri" w:cs="Calibri"/>
          <w:noProof/>
          <w:sz w:val="24"/>
          <w:szCs w:val="24"/>
          <w:lang w:val="sr-Latn-BA"/>
        </w:rPr>
        <w:lastRenderedPageBreak/>
        <w:t xml:space="preserve">prosječne ponderisane cijene za ostvarene transakcije na dan kada je posljednji put bilo trgovanja tom hov na berzi   </w:t>
      </w:r>
    </w:p>
    <w:p w:rsidR="0078483D" w:rsidRDefault="0078483D" w:rsidP="0078483D">
      <w:pPr>
        <w:pStyle w:val="Header"/>
        <w:suppressAutoHyphens/>
        <w:jc w:val="both"/>
        <w:rPr>
          <w:rFonts w:ascii="Calibri" w:hAnsi="Calibri" w:cs="Calibri"/>
          <w:noProof/>
          <w:sz w:val="24"/>
          <w:szCs w:val="24"/>
          <w:lang w:val="sr-Latn-BA"/>
        </w:rPr>
      </w:pPr>
    </w:p>
    <w:p w:rsidR="0078483D" w:rsidRDefault="0078483D" w:rsidP="0078483D">
      <w:pPr>
        <w:pStyle w:val="Header"/>
        <w:suppressAutoHyphens/>
        <w:jc w:val="both"/>
        <w:rPr>
          <w:rFonts w:ascii="Calibri" w:hAnsi="Calibri" w:cs="Calibri"/>
          <w:noProof/>
          <w:sz w:val="24"/>
          <w:szCs w:val="24"/>
          <w:lang w:val="sr-Latn-BA"/>
        </w:rPr>
      </w:pPr>
      <w:r w:rsidRPr="0077290F">
        <w:rPr>
          <w:rFonts w:ascii="Calibri" w:hAnsi="Calibri" w:cs="Calibri"/>
          <w:noProof/>
          <w:sz w:val="24"/>
          <w:szCs w:val="24"/>
          <w:lang w:val="sr-Latn-BA"/>
        </w:rPr>
        <w:t>Fer vrijednost vlasničkih hartija od vrijednosti kojima se trguje u inostranstvu na uređenim tržištima u državi članici EU, OECD i CEFTA fer vrijednost se izračunava na osnovu</w:t>
      </w:r>
      <w:r>
        <w:rPr>
          <w:rFonts w:ascii="Calibri" w:hAnsi="Calibri" w:cs="Calibri"/>
          <w:noProof/>
          <w:sz w:val="24"/>
          <w:szCs w:val="24"/>
          <w:lang w:val="sr-Latn-BA"/>
        </w:rPr>
        <w:t xml:space="preserve"> posljednje cijene ostvarene tog dana na matičnoj berzi emitenta ili berzi koja je definisana kao primarni izvor cijene odnosne hartije od vrijednosti koja je uvrštena na berzansko tržište. </w:t>
      </w:r>
    </w:p>
    <w:p w:rsidR="002A6882" w:rsidRDefault="002A6882" w:rsidP="0078483D">
      <w:pPr>
        <w:pStyle w:val="Header"/>
        <w:suppressAutoHyphens/>
        <w:jc w:val="both"/>
        <w:rPr>
          <w:rFonts w:ascii="Calibri" w:hAnsi="Calibri" w:cs="Calibri"/>
          <w:noProof/>
          <w:sz w:val="24"/>
          <w:szCs w:val="24"/>
          <w:lang w:val="sr-Latn-BA"/>
        </w:rPr>
      </w:pPr>
    </w:p>
    <w:p w:rsidR="002A6882" w:rsidRDefault="002A6882" w:rsidP="002A6882">
      <w:pPr>
        <w:pStyle w:val="Header"/>
        <w:suppressAutoHyphens/>
        <w:jc w:val="both"/>
        <w:rPr>
          <w:rFonts w:ascii="Calibri" w:hAnsi="Calibri" w:cs="Calibri"/>
          <w:noProof/>
          <w:sz w:val="24"/>
          <w:szCs w:val="24"/>
          <w:lang w:val="sr-Latn-BA"/>
        </w:rPr>
      </w:pPr>
      <w:r w:rsidRPr="0077290F">
        <w:rPr>
          <w:rFonts w:ascii="Calibri" w:hAnsi="Calibri" w:cs="Calibri"/>
          <w:noProof/>
          <w:sz w:val="24"/>
          <w:szCs w:val="24"/>
          <w:lang w:val="sr-Latn-BA"/>
        </w:rPr>
        <w:t>U slučaju trgovanja na uređenim tržištima izvan tržišta država članica EU, OECD i CEFTA fer vrijednost</w:t>
      </w:r>
      <w:r>
        <w:rPr>
          <w:rFonts w:ascii="Calibri" w:hAnsi="Calibri" w:cs="Calibri"/>
          <w:noProof/>
          <w:sz w:val="24"/>
          <w:szCs w:val="24"/>
          <w:lang w:val="sr-Latn-BA"/>
        </w:rPr>
        <w:t xml:space="preserve"> vlasničkih hartija</w:t>
      </w:r>
      <w:r w:rsidRPr="0077290F">
        <w:rPr>
          <w:rFonts w:ascii="Calibri" w:hAnsi="Calibri" w:cs="Calibri"/>
          <w:noProof/>
          <w:sz w:val="24"/>
          <w:szCs w:val="24"/>
          <w:lang w:val="sr-Latn-BA"/>
        </w:rPr>
        <w:t xml:space="preserve">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w:t>
      </w:r>
      <w:r>
        <w:rPr>
          <w:rFonts w:ascii="Calibri" w:hAnsi="Calibri" w:cs="Calibri"/>
          <w:noProof/>
          <w:sz w:val="24"/>
          <w:szCs w:val="24"/>
          <w:lang w:val="sr-Latn-BA"/>
        </w:rPr>
        <w:t xml:space="preserve">U slučaju nepostojanja navedenih tržišnih cijena njihova fer vrijednost se utvrđuje u iznosu koji je manji od sljedeće dvije vrijednosti: </w:t>
      </w:r>
    </w:p>
    <w:p w:rsidR="002A6882" w:rsidRDefault="002A6882" w:rsidP="002A6882">
      <w:pPr>
        <w:pStyle w:val="Header"/>
        <w:suppressAutoHyphens/>
        <w:ind w:left="720"/>
        <w:jc w:val="both"/>
        <w:rPr>
          <w:rFonts w:ascii="Calibri" w:hAnsi="Calibri" w:cs="Calibri"/>
          <w:noProof/>
          <w:sz w:val="24"/>
          <w:szCs w:val="24"/>
          <w:lang w:val="sr-Latn-BA"/>
        </w:rPr>
      </w:pPr>
      <w:r>
        <w:rPr>
          <w:rFonts w:ascii="Calibri" w:hAnsi="Calibri" w:cs="Calibri"/>
          <w:noProof/>
          <w:sz w:val="24"/>
          <w:szCs w:val="24"/>
          <w:lang w:val="sr-Latn-BA"/>
        </w:rPr>
        <w:t>* procjenjenoj vrijednosti utvrđene procjenom u skladu sa „Pravilnikom“ ,</w:t>
      </w:r>
    </w:p>
    <w:p w:rsidR="002A6882" w:rsidRDefault="002A6882" w:rsidP="002A6882">
      <w:pPr>
        <w:pStyle w:val="Header"/>
        <w:suppressAutoHyphens/>
        <w:ind w:left="720"/>
        <w:jc w:val="both"/>
        <w:rPr>
          <w:rFonts w:ascii="Calibri" w:hAnsi="Calibri" w:cs="Calibri"/>
          <w:noProof/>
          <w:sz w:val="24"/>
          <w:szCs w:val="24"/>
          <w:lang w:val="sr-Latn-BA"/>
        </w:rPr>
      </w:pPr>
      <w:r>
        <w:rPr>
          <w:rFonts w:ascii="Calibri" w:hAnsi="Calibri" w:cs="Calibri"/>
          <w:noProof/>
          <w:sz w:val="24"/>
          <w:szCs w:val="24"/>
          <w:lang w:val="sr-Latn-BA"/>
        </w:rPr>
        <w:t xml:space="preserve">* cijene na zatvaranju na dan kada je posljednji put bilo trgovanja na tržištu tom vlasničkom hartijom  od vrijednosti. </w:t>
      </w:r>
    </w:p>
    <w:p w:rsidR="002A6882" w:rsidRPr="000A6E6E" w:rsidRDefault="002A6882" w:rsidP="002A6882">
      <w:pPr>
        <w:pStyle w:val="Header"/>
        <w:suppressAutoHyphens/>
        <w:jc w:val="both"/>
        <w:rPr>
          <w:rFonts w:ascii="Calibri" w:hAnsi="Calibri" w:cs="Calibri"/>
          <w:noProof/>
          <w:sz w:val="24"/>
          <w:szCs w:val="24"/>
          <w:lang w:val="sr-Latn-BA"/>
        </w:rPr>
      </w:pPr>
    </w:p>
    <w:p w:rsidR="002A6882" w:rsidRDefault="002A6882" w:rsidP="002A6882">
      <w:pPr>
        <w:pStyle w:val="Header"/>
        <w:suppressAutoHyphens/>
        <w:jc w:val="both"/>
        <w:rPr>
          <w:rFonts w:ascii="Calibri" w:hAnsi="Calibri" w:cs="Calibri"/>
          <w:noProof/>
          <w:sz w:val="24"/>
          <w:szCs w:val="24"/>
          <w:lang w:val="sr-Latn-BA"/>
        </w:rPr>
      </w:pPr>
      <w:r w:rsidRPr="000A6E6E">
        <w:rPr>
          <w:rFonts w:ascii="Calibri" w:hAnsi="Calibri" w:cs="Calibri"/>
          <w:noProof/>
          <w:sz w:val="24"/>
          <w:szCs w:val="24"/>
          <w:lang w:val="sr-Latn-BA"/>
        </w:rPr>
        <w:t>Fer vrijednost dužničkih hartija od vrijednosti kojima se trguje u Republici Srpskoj i u Federaciji Bosne i Hercegovine  obračunava se primjenom prosječne</w:t>
      </w:r>
      <w:r>
        <w:rPr>
          <w:rFonts w:ascii="Calibri" w:hAnsi="Calibri" w:cs="Calibri"/>
          <w:noProof/>
          <w:sz w:val="24"/>
          <w:szCs w:val="24"/>
          <w:lang w:val="sr-Latn-BA"/>
        </w:rPr>
        <w:t xml:space="preserve"> </w:t>
      </w:r>
      <w:r w:rsidRPr="000A6E6E">
        <w:rPr>
          <w:rFonts w:ascii="Calibri" w:hAnsi="Calibri" w:cs="Calibri"/>
          <w:noProof/>
          <w:sz w:val="24"/>
          <w:szCs w:val="24"/>
          <w:lang w:val="sr-Latn-BA"/>
        </w:rPr>
        <w:t>ponderisane cijene trgovanja</w:t>
      </w:r>
      <w:r>
        <w:rPr>
          <w:rFonts w:ascii="Calibri" w:hAnsi="Calibri" w:cs="Calibri"/>
          <w:noProof/>
          <w:sz w:val="24"/>
          <w:szCs w:val="24"/>
          <w:lang w:val="sr-Latn-BA"/>
        </w:rPr>
        <w:t xml:space="preserve"> na dan vrednovanja</w:t>
      </w:r>
      <w:r w:rsidRPr="000A6E6E">
        <w:rPr>
          <w:rFonts w:ascii="Calibri" w:hAnsi="Calibri" w:cs="Calibri"/>
          <w:noProof/>
          <w:sz w:val="24"/>
          <w:szCs w:val="24"/>
          <w:lang w:val="sr-Latn-BA"/>
        </w:rPr>
        <w:t xml:space="preserve">, a zaokružuje se na četiri decimale. </w:t>
      </w:r>
      <w:r>
        <w:rPr>
          <w:rFonts w:ascii="Calibri" w:hAnsi="Calibri" w:cs="Calibri"/>
          <w:noProof/>
          <w:sz w:val="24"/>
          <w:szCs w:val="24"/>
          <w:lang w:val="sr-Latn-BA"/>
        </w:rPr>
        <w:t xml:space="preserve">Fer vrijednost dužničkih hartija od vrijednosti kojima se trguje u inostranstvu na uređenim tržištima u državi EU, OECD, i CEFTA obračunava se na osnovu posljednje cijene ostvarene tog dana na matičnoj berzi emitenta ili berzi koja je definisana kao primarni izvor cijene odnosne hartije od vrijednosti koja je uvrštena na berzansko tržište. Fer vrijednost dužničkih hartija od vrijednosti kojima se trguje na uređenim tržištima izvan država EU, OECD i CEFTA obračunava se na osnovu ponderisane prosječne cijene te hartije ostvarene na berzi na dan vrednovanja. </w:t>
      </w:r>
      <w:r w:rsidRPr="000A6E6E">
        <w:rPr>
          <w:rFonts w:ascii="Calibri" w:hAnsi="Calibri" w:cs="Calibri"/>
          <w:noProof/>
          <w:sz w:val="24"/>
          <w:szCs w:val="24"/>
          <w:lang w:val="sr-Latn-BA"/>
        </w:rPr>
        <w:t xml:space="preserve">U slučaju nepostojanju cijene na dan vrednovanja, vrednovanje dužničkih hartija od vrijednosti </w:t>
      </w:r>
      <w:r>
        <w:rPr>
          <w:rFonts w:ascii="Calibri" w:hAnsi="Calibri" w:cs="Calibri"/>
          <w:noProof/>
          <w:sz w:val="24"/>
          <w:szCs w:val="24"/>
          <w:lang w:val="sr-Latn-BA"/>
        </w:rPr>
        <w:t xml:space="preserve">vrednuje se diskontovanjem tokova gotovine, pri čemu se kao diskontna stopa koristi preovlađujujuća tržišna kamatna stopa za hartije od vrijednosti koje imaju isti ili približan rok dospjeća i isti kreditni rejting.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1" w:name="_Toc64534437"/>
      <w:r w:rsidRPr="00A47E7E">
        <w:rPr>
          <w:rFonts w:ascii="Calibri" w:hAnsi="Calibri" w:cs="Calibri"/>
          <w:noProof/>
          <w:sz w:val="24"/>
          <w:szCs w:val="24"/>
        </w:rPr>
        <w:t>Nerealizovani dobici i gubici po osnovu promjene fer vrijednosti ulaganja</w:t>
      </w:r>
      <w:bookmarkEnd w:id="11"/>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Nerealizovani dobici i gubici po osnovu promjene tržišne vrijednosti ulaganja se priznaju u korist, odnosno na teret revalorizacionih rezervi (u bilansu stanja) za finansijska ulaganja </w:t>
      </w:r>
      <w:r w:rsidRPr="00567D14">
        <w:rPr>
          <w:rFonts w:ascii="Calibri" w:hAnsi="Calibri" w:cs="Calibri"/>
          <w:noProof/>
          <w:sz w:val="24"/>
          <w:szCs w:val="24"/>
          <w:lang w:val="sr-Latn-BA"/>
        </w:rPr>
        <w:t>raspoloživa za prodaju, a u slučaju finansijskih ulaganja namijenjenih trgovanju u korist,</w:t>
      </w:r>
      <w:r w:rsidRPr="00A47E7E">
        <w:rPr>
          <w:rFonts w:ascii="Calibri" w:hAnsi="Calibri" w:cs="Calibri"/>
          <w:noProof/>
          <w:sz w:val="24"/>
          <w:szCs w:val="24"/>
          <w:lang w:val="sr-Latn-BA"/>
        </w:rPr>
        <w:t xml:space="preserve">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2" w:name="_Toc64534438"/>
      <w:r w:rsidRPr="00A47E7E">
        <w:rPr>
          <w:rFonts w:ascii="Calibri" w:hAnsi="Calibri" w:cs="Calibri"/>
          <w:noProof/>
          <w:sz w:val="24"/>
          <w:szCs w:val="24"/>
        </w:rPr>
        <w:lastRenderedPageBreak/>
        <w:t>Realizovani dobici i gubici po osnovu prodaje hartija od vrijednosti</w:t>
      </w:r>
      <w:bookmarkEnd w:id="12"/>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3" w:name="_Toc64534439"/>
      <w:r w:rsidRPr="00A47E7E">
        <w:rPr>
          <w:rFonts w:ascii="Calibri" w:hAnsi="Calibri" w:cs="Calibri"/>
          <w:noProof/>
          <w:sz w:val="24"/>
          <w:szCs w:val="24"/>
        </w:rPr>
        <w:t>Utvrđivanje neto vrijednosti imovine fonda</w:t>
      </w:r>
      <w:bookmarkEnd w:id="13"/>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4" w:name="_Toc64534440"/>
      <w:r w:rsidRPr="00A47E7E">
        <w:rPr>
          <w:rFonts w:ascii="Calibri" w:hAnsi="Calibri" w:cs="Calibri"/>
          <w:noProof/>
          <w:sz w:val="24"/>
          <w:szCs w:val="24"/>
        </w:rPr>
        <w:t>Gotovine i gotovinski ekvivalenti</w:t>
      </w:r>
      <w:bookmarkEnd w:id="14"/>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5" w:name="_Toc64534441"/>
      <w:r w:rsidRPr="00A47E7E">
        <w:rPr>
          <w:rFonts w:ascii="Calibri" w:hAnsi="Calibri" w:cs="Calibri"/>
          <w:noProof/>
          <w:sz w:val="24"/>
          <w:szCs w:val="24"/>
        </w:rPr>
        <w:t>Porezi i dopirnosi iz rezultata</w:t>
      </w:r>
      <w:bookmarkEnd w:id="15"/>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Odloženi porez na dobitak se obračunava korišćenjem metode utvrđivanja obaveza prema bilansu stanja, za privremene razlike proizašle iz razlike između poreske osnove potraživanja i obaveza u bilansu stanja i njihove knjigovodstvene vrijednosti. Važeće </w:t>
      </w:r>
      <w:r w:rsidRPr="00A47E7E">
        <w:rPr>
          <w:rFonts w:ascii="Calibri" w:hAnsi="Calibri" w:cs="Calibri"/>
          <w:noProof/>
        </w:rPr>
        <w:lastRenderedPageBreak/>
        <w:t>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6" w:name="_Toc64534442"/>
      <w:r w:rsidRPr="00A47E7E">
        <w:rPr>
          <w:rFonts w:ascii="Calibri" w:hAnsi="Calibri" w:cs="Calibri"/>
          <w:noProof/>
          <w:sz w:val="24"/>
          <w:szCs w:val="24"/>
        </w:rPr>
        <w:t>Povezana pravna i fizička lica</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Osim navedenog, Zakonom je definisano da su povezana lica fonda: društvo za upravljanje, zaposleni i lica u organima društva, banka depozitar, advokat odnosno advokatska kancelarija, revizor i poreski savjetnik koji se nalaze u ugovornom odnosu po osnovu </w:t>
      </w:r>
      <w:r w:rsidRPr="00A47E7E">
        <w:rPr>
          <w:rFonts w:ascii="Calibri" w:hAnsi="Calibri" w:cs="Calibri"/>
          <w:noProof/>
        </w:rPr>
        <w:lastRenderedPageBreak/>
        <w:t>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17" w:name="_Toc64534443"/>
      <w:r w:rsidRPr="00A47E7E">
        <w:rPr>
          <w:rFonts w:ascii="Calibri" w:hAnsi="Calibri" w:cs="Calibri"/>
          <w:noProof/>
          <w:sz w:val="24"/>
          <w:szCs w:val="24"/>
        </w:rPr>
        <w:t>ZNAČAJNE RAČUNOVODSTVENE PROCJENE</w:t>
      </w:r>
      <w:bookmarkEnd w:id="17"/>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rsidR="00F014B7" w:rsidRPr="00A47E7E" w:rsidRDefault="00F014B7" w:rsidP="006060FF">
      <w:pPr>
        <w:tabs>
          <w:tab w:val="left" w:pos="-1440"/>
          <w:tab w:val="left" w:pos="-720"/>
          <w:tab w:val="left" w:pos="889"/>
          <w:tab w:val="left" w:pos="1231"/>
          <w:tab w:val="right" w:pos="8960"/>
        </w:tabs>
        <w:jc w:val="both"/>
        <w:rPr>
          <w:rFonts w:ascii="Calibri" w:hAnsi="Calibri" w:cs="Calibri"/>
          <w:noProof/>
        </w:rPr>
      </w:pPr>
    </w:p>
    <w:p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18" w:name="_Toc64534445"/>
      <w:r w:rsidRPr="00A47E7E">
        <w:rPr>
          <w:rFonts w:ascii="Calibri" w:hAnsi="Calibri" w:cs="Calibri"/>
          <w:noProof/>
          <w:sz w:val="24"/>
          <w:szCs w:val="24"/>
        </w:rPr>
        <w:lastRenderedPageBreak/>
        <w:t xml:space="preserve">PRIHODI OD KAMATA </w:t>
      </w:r>
      <w:r w:rsidR="00324EF4" w:rsidRPr="00A47E7E">
        <w:rPr>
          <w:rFonts w:ascii="Calibri" w:hAnsi="Calibri" w:cs="Calibri"/>
          <w:noProof/>
          <w:sz w:val="24"/>
          <w:szCs w:val="24"/>
        </w:rPr>
        <w:t>I AMORTIZACIJA PREMIJE (DISKONTA) PO OSNOVU HOV SA FIKSNIM ROKOM DOSPJEĆA</w:t>
      </w:r>
      <w:bookmarkEnd w:id="18"/>
    </w:p>
    <w:p w:rsidR="00E93BF4" w:rsidRP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tbl>
      <w:tblPr>
        <w:tblW w:w="8340" w:type="dxa"/>
        <w:tblInd w:w="99" w:type="dxa"/>
        <w:tblLook w:val="04A0" w:firstRow="1" w:lastRow="0" w:firstColumn="1" w:lastColumn="0" w:noHBand="0" w:noVBand="1"/>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6B74C5">
              <w:rPr>
                <w:rFonts w:ascii="Calibri" w:hAnsi="Calibri"/>
                <w:b/>
                <w:bCs/>
                <w:color w:val="000000"/>
                <w:lang w:val="sr-Latn-BA" w:eastAsia="sr-Latn-BA"/>
              </w:rPr>
              <w:t>2</w:t>
            </w:r>
            <w:r w:rsidR="00B40C98">
              <w:rPr>
                <w:rFonts w:ascii="Calibri" w:hAnsi="Calibri"/>
                <w:b/>
                <w:bCs/>
                <w:color w:val="000000"/>
                <w:lang w:val="sr-Latn-BA" w:eastAsia="sr-Latn-BA"/>
              </w:rPr>
              <w:t>1</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B40C98">
              <w:rPr>
                <w:rFonts w:ascii="Calibri" w:hAnsi="Calibri"/>
                <w:b/>
                <w:bCs/>
                <w:color w:val="000000"/>
                <w:lang w:val="sr-Latn-BA" w:eastAsia="sr-Latn-BA"/>
              </w:rPr>
              <w:t>20</w:t>
            </w:r>
          </w:p>
        </w:tc>
      </w:tr>
      <w:tr w:rsidR="006B74C5" w:rsidRPr="00C50773" w:rsidTr="00C50773">
        <w:trPr>
          <w:trHeight w:val="310"/>
        </w:trPr>
        <w:tc>
          <w:tcPr>
            <w:tcW w:w="4620" w:type="dxa"/>
            <w:tcBorders>
              <w:top w:val="nil"/>
              <w:left w:val="nil"/>
              <w:bottom w:val="nil"/>
              <w:right w:val="nil"/>
            </w:tcBorders>
            <w:shd w:val="clear" w:color="000000" w:fill="FFFFFF"/>
            <w:noWrap/>
            <w:vAlign w:val="bottom"/>
          </w:tcPr>
          <w:p w:rsidR="006B74C5" w:rsidRPr="00C50773" w:rsidRDefault="006B74C5" w:rsidP="00C50773">
            <w:pPr>
              <w:rPr>
                <w:rFonts w:ascii="Calibri" w:hAnsi="Calibri"/>
                <w:lang w:val="sr-Latn-BA" w:eastAsia="sr-Latn-BA"/>
              </w:rPr>
            </w:pPr>
            <w:r>
              <w:rPr>
                <w:rFonts w:ascii="Calibri" w:hAnsi="Calibri"/>
                <w:lang w:val="sr-Latn-BA" w:eastAsia="sr-Latn-BA"/>
              </w:rPr>
              <w:t xml:space="preserve">Prihodi od kamta na obveznice </w:t>
            </w:r>
          </w:p>
        </w:tc>
        <w:tc>
          <w:tcPr>
            <w:tcW w:w="2040" w:type="dxa"/>
            <w:tcBorders>
              <w:top w:val="nil"/>
              <w:left w:val="nil"/>
              <w:bottom w:val="nil"/>
              <w:right w:val="nil"/>
            </w:tcBorders>
            <w:shd w:val="clear" w:color="000000" w:fill="FFFFFF"/>
            <w:noWrap/>
            <w:vAlign w:val="bottom"/>
          </w:tcPr>
          <w:p w:rsidR="006B74C5" w:rsidRDefault="00312409" w:rsidP="00AF113C">
            <w:pPr>
              <w:jc w:val="right"/>
              <w:rPr>
                <w:rFonts w:ascii="Calibri" w:hAnsi="Calibri"/>
                <w:color w:val="000000"/>
                <w:lang w:val="sr-Latn-BA" w:eastAsia="sr-Latn-BA"/>
              </w:rPr>
            </w:pPr>
            <w:r>
              <w:rPr>
                <w:rFonts w:ascii="Calibri" w:hAnsi="Calibri"/>
                <w:color w:val="000000"/>
                <w:lang w:val="sr-Latn-BA" w:eastAsia="sr-Latn-BA"/>
              </w:rPr>
              <w:t>3.225</w:t>
            </w:r>
          </w:p>
        </w:tc>
        <w:tc>
          <w:tcPr>
            <w:tcW w:w="1680" w:type="dxa"/>
            <w:tcBorders>
              <w:top w:val="nil"/>
              <w:left w:val="nil"/>
              <w:bottom w:val="nil"/>
              <w:right w:val="nil"/>
            </w:tcBorders>
            <w:shd w:val="clear" w:color="000000" w:fill="FFFFFF"/>
            <w:vAlign w:val="center"/>
          </w:tcPr>
          <w:p w:rsidR="006B74C5" w:rsidRDefault="00B40C98" w:rsidP="005C2647">
            <w:pPr>
              <w:jc w:val="right"/>
              <w:rPr>
                <w:rFonts w:ascii="Calibri" w:hAnsi="Calibri"/>
                <w:color w:val="000000"/>
                <w:lang w:val="sr-Latn-BA" w:eastAsia="sr-Latn-BA"/>
              </w:rPr>
            </w:pPr>
            <w:r>
              <w:rPr>
                <w:rFonts w:ascii="Calibri" w:hAnsi="Calibri"/>
                <w:color w:val="000000"/>
                <w:lang w:val="sr-Latn-BA" w:eastAsia="sr-Latn-BA"/>
              </w:rPr>
              <w:t xml:space="preserve">                 </w:t>
            </w:r>
            <w:r w:rsidR="005C2647">
              <w:rPr>
                <w:rFonts w:ascii="Calibri" w:hAnsi="Calibri"/>
                <w:color w:val="000000"/>
                <w:lang w:val="sr-Latn-BA" w:eastAsia="sr-Latn-BA"/>
              </w:rPr>
              <w:t>3.918</w:t>
            </w:r>
          </w:p>
        </w:tc>
      </w:tr>
      <w:tr w:rsidR="00312409" w:rsidRPr="00C50773" w:rsidTr="00C50773">
        <w:trPr>
          <w:trHeight w:val="310"/>
        </w:trPr>
        <w:tc>
          <w:tcPr>
            <w:tcW w:w="4620" w:type="dxa"/>
            <w:tcBorders>
              <w:top w:val="nil"/>
              <w:left w:val="nil"/>
              <w:bottom w:val="nil"/>
              <w:right w:val="nil"/>
            </w:tcBorders>
            <w:shd w:val="clear" w:color="000000" w:fill="FFFFFF"/>
            <w:noWrap/>
            <w:vAlign w:val="bottom"/>
          </w:tcPr>
          <w:p w:rsidR="00312409" w:rsidRDefault="00312409" w:rsidP="00C50773">
            <w:pPr>
              <w:rPr>
                <w:rFonts w:ascii="Calibri" w:hAnsi="Calibri"/>
                <w:lang w:val="sr-Latn-BA" w:eastAsia="sr-Latn-BA"/>
              </w:rPr>
            </w:pPr>
            <w:r>
              <w:rPr>
                <w:rFonts w:ascii="Calibri" w:hAnsi="Calibri"/>
                <w:lang w:val="sr-Latn-BA" w:eastAsia="sr-Latn-BA"/>
              </w:rPr>
              <w:t xml:space="preserve">Prihodi od kamata – dugoročni depozit </w:t>
            </w:r>
          </w:p>
        </w:tc>
        <w:tc>
          <w:tcPr>
            <w:tcW w:w="2040" w:type="dxa"/>
            <w:tcBorders>
              <w:top w:val="nil"/>
              <w:left w:val="nil"/>
              <w:bottom w:val="nil"/>
              <w:right w:val="nil"/>
            </w:tcBorders>
            <w:shd w:val="clear" w:color="000000" w:fill="FFFFFF"/>
            <w:noWrap/>
            <w:vAlign w:val="bottom"/>
          </w:tcPr>
          <w:p w:rsidR="00312409" w:rsidRDefault="00312409" w:rsidP="00AF113C">
            <w:pPr>
              <w:jc w:val="right"/>
              <w:rPr>
                <w:rFonts w:ascii="Calibri" w:hAnsi="Calibri"/>
                <w:color w:val="000000"/>
                <w:lang w:val="sr-Latn-BA" w:eastAsia="sr-Latn-BA"/>
              </w:rPr>
            </w:pPr>
            <w:r>
              <w:rPr>
                <w:rFonts w:ascii="Calibri" w:hAnsi="Calibri"/>
                <w:color w:val="000000"/>
                <w:lang w:val="sr-Latn-BA" w:eastAsia="sr-Latn-BA"/>
              </w:rPr>
              <w:t>1.510</w:t>
            </w:r>
          </w:p>
        </w:tc>
        <w:tc>
          <w:tcPr>
            <w:tcW w:w="1680" w:type="dxa"/>
            <w:tcBorders>
              <w:top w:val="nil"/>
              <w:left w:val="nil"/>
              <w:bottom w:val="nil"/>
              <w:right w:val="nil"/>
            </w:tcBorders>
            <w:shd w:val="clear" w:color="000000" w:fill="FFFFFF"/>
            <w:vAlign w:val="center"/>
          </w:tcPr>
          <w:p w:rsidR="00312409" w:rsidRDefault="005C2647" w:rsidP="00B40C98">
            <w:pPr>
              <w:jc w:val="right"/>
              <w:rPr>
                <w:rFonts w:ascii="Calibri" w:hAnsi="Calibri"/>
                <w:color w:val="000000"/>
                <w:lang w:val="sr-Latn-BA" w:eastAsia="sr-Latn-BA"/>
              </w:rPr>
            </w:pPr>
            <w:r>
              <w:rPr>
                <w:rFonts w:ascii="Calibri" w:hAnsi="Calibri"/>
                <w:color w:val="000000"/>
                <w:lang w:val="sr-Latn-BA" w:eastAsia="sr-Latn-BA"/>
              </w:rPr>
              <w:t>9.253</w:t>
            </w:r>
          </w:p>
        </w:tc>
      </w:tr>
      <w:tr w:rsidR="00C50773" w:rsidRPr="00C50773" w:rsidTr="00C50773">
        <w:trPr>
          <w:trHeight w:val="620"/>
        </w:trPr>
        <w:tc>
          <w:tcPr>
            <w:tcW w:w="4620" w:type="dxa"/>
            <w:tcBorders>
              <w:top w:val="nil"/>
              <w:left w:val="nil"/>
              <w:bottom w:val="nil"/>
              <w:right w:val="nil"/>
            </w:tcBorders>
            <w:shd w:val="clear" w:color="000000" w:fill="FFFFFF"/>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C50773" w:rsidRPr="00C50773" w:rsidRDefault="0078416E" w:rsidP="00312409">
            <w:pPr>
              <w:jc w:val="right"/>
              <w:rPr>
                <w:rFonts w:ascii="Calibri" w:hAnsi="Calibri"/>
                <w:color w:val="000000"/>
                <w:lang w:val="sr-Latn-BA" w:eastAsia="sr-Latn-BA"/>
              </w:rPr>
            </w:pPr>
            <w:r>
              <w:rPr>
                <w:rFonts w:ascii="Calibri" w:hAnsi="Calibri"/>
                <w:color w:val="000000"/>
                <w:lang w:val="sr-Latn-BA" w:eastAsia="sr-Latn-BA"/>
              </w:rPr>
              <w:t>(</w:t>
            </w:r>
            <w:r w:rsidR="00B40C98">
              <w:rPr>
                <w:rFonts w:ascii="Calibri" w:hAnsi="Calibri"/>
                <w:color w:val="000000"/>
                <w:lang w:val="sr-Latn-BA" w:eastAsia="sr-Latn-BA"/>
              </w:rPr>
              <w:t xml:space="preserve"> </w:t>
            </w:r>
            <w:r w:rsidR="00312409">
              <w:rPr>
                <w:rFonts w:ascii="Calibri" w:hAnsi="Calibri"/>
                <w:color w:val="000000"/>
                <w:lang w:val="sr-Latn-BA" w:eastAsia="sr-Latn-BA"/>
              </w:rPr>
              <w:t>1.257</w:t>
            </w:r>
            <w:r>
              <w:rPr>
                <w:rFonts w:ascii="Calibri" w:hAnsi="Calibri"/>
                <w:color w:val="000000"/>
                <w:lang w:val="sr-Latn-BA" w:eastAsia="sr-Latn-BA"/>
              </w:rPr>
              <w:t>)</w:t>
            </w:r>
          </w:p>
        </w:tc>
        <w:tc>
          <w:tcPr>
            <w:tcW w:w="1680" w:type="dxa"/>
            <w:tcBorders>
              <w:top w:val="nil"/>
              <w:left w:val="nil"/>
              <w:bottom w:val="nil"/>
              <w:right w:val="nil"/>
            </w:tcBorders>
            <w:shd w:val="clear" w:color="000000" w:fill="FFFFFF"/>
            <w:noWrap/>
            <w:vAlign w:val="bottom"/>
            <w:hideMark/>
          </w:tcPr>
          <w:p w:rsidR="00C50773" w:rsidRPr="00C50773" w:rsidRDefault="00C50773" w:rsidP="00B40C98">
            <w:pPr>
              <w:jc w:val="right"/>
              <w:rPr>
                <w:rFonts w:ascii="Calibri" w:hAnsi="Calibri"/>
                <w:color w:val="000000"/>
                <w:lang w:val="sr-Latn-BA" w:eastAsia="sr-Latn-BA"/>
              </w:rPr>
            </w:pPr>
          </w:p>
        </w:tc>
      </w:tr>
      <w:tr w:rsidR="00C50773" w:rsidRPr="00C50773" w:rsidTr="00C50773">
        <w:trPr>
          <w:trHeight w:val="370"/>
        </w:trPr>
        <w:tc>
          <w:tcPr>
            <w:tcW w:w="4620" w:type="dxa"/>
            <w:tcBorders>
              <w:top w:val="nil"/>
              <w:left w:val="nil"/>
              <w:bottom w:val="nil"/>
              <w:right w:val="nil"/>
            </w:tcBorders>
            <w:shd w:val="clear" w:color="000000" w:fill="FFFFFF"/>
            <w:noWrap/>
            <w:vAlign w:val="bottom"/>
            <w:hideMark/>
          </w:tcPr>
          <w:p w:rsidR="00AF113C" w:rsidRDefault="00AF113C" w:rsidP="00C50773">
            <w:pPr>
              <w:rPr>
                <w:rFonts w:ascii="Calibri" w:hAnsi="Calibri"/>
                <w:b/>
                <w:bCs/>
                <w:lang w:val="sr-Latn-BA" w:eastAsia="sr-Latn-BA"/>
              </w:rPr>
            </w:pPr>
          </w:p>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A5154C">
              <w:rPr>
                <w:rFonts w:ascii="Calibri" w:hAnsi="Calibri"/>
                <w:b/>
                <w:bCs/>
                <w:lang w:val="sr-Latn-BA" w:eastAsia="sr-Latn-BA"/>
              </w:rPr>
              <w:t>dinu koja se završ</w:t>
            </w:r>
            <w:r w:rsidR="00312409">
              <w:rPr>
                <w:rFonts w:ascii="Calibri" w:hAnsi="Calibri"/>
                <w:b/>
                <w:bCs/>
                <w:lang w:val="sr-Latn-BA" w:eastAsia="sr-Latn-BA"/>
              </w:rPr>
              <w:t>ila 30.06</w:t>
            </w:r>
            <w:r w:rsidR="00B40C98">
              <w:rPr>
                <w:rFonts w:ascii="Calibri" w:hAnsi="Calibri"/>
                <w:b/>
                <w:bCs/>
                <w:lang w:val="sr-Latn-BA" w:eastAsia="sr-Latn-BA"/>
              </w:rPr>
              <w:t>.2021</w:t>
            </w:r>
            <w:r w:rsidRPr="00C50773">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C50773" w:rsidRPr="00C50773" w:rsidRDefault="00312409" w:rsidP="00AF113C">
            <w:pPr>
              <w:jc w:val="right"/>
              <w:rPr>
                <w:rFonts w:ascii="Calibri" w:hAnsi="Calibri"/>
                <w:b/>
                <w:bCs/>
                <w:color w:val="000000"/>
                <w:u w:val="single"/>
                <w:lang w:val="sr-Latn-BA" w:eastAsia="sr-Latn-BA"/>
              </w:rPr>
            </w:pPr>
            <w:r>
              <w:rPr>
                <w:rFonts w:ascii="Calibri" w:hAnsi="Calibri"/>
                <w:b/>
                <w:bCs/>
                <w:color w:val="000000"/>
                <w:u w:val="single"/>
                <w:lang w:val="sr-Latn-BA" w:eastAsia="sr-Latn-BA"/>
              </w:rPr>
              <w:t>3.478</w:t>
            </w:r>
          </w:p>
        </w:tc>
        <w:tc>
          <w:tcPr>
            <w:tcW w:w="1680" w:type="dxa"/>
            <w:tcBorders>
              <w:top w:val="nil"/>
              <w:left w:val="nil"/>
              <w:bottom w:val="nil"/>
              <w:right w:val="nil"/>
            </w:tcBorders>
            <w:shd w:val="clear" w:color="000000" w:fill="FFFFFF"/>
            <w:noWrap/>
            <w:vAlign w:val="bottom"/>
            <w:hideMark/>
          </w:tcPr>
          <w:p w:rsidR="00C50773" w:rsidRPr="00C50773" w:rsidRDefault="005C2647" w:rsidP="006B74C5">
            <w:pPr>
              <w:jc w:val="right"/>
              <w:rPr>
                <w:rFonts w:ascii="Calibri" w:hAnsi="Calibri"/>
                <w:b/>
                <w:bCs/>
                <w:color w:val="000000"/>
                <w:u w:val="single"/>
                <w:lang w:val="sr-Latn-BA" w:eastAsia="sr-Latn-BA"/>
              </w:rPr>
            </w:pPr>
            <w:r>
              <w:rPr>
                <w:rFonts w:ascii="Calibri" w:hAnsi="Calibri"/>
                <w:b/>
                <w:bCs/>
                <w:color w:val="000000"/>
                <w:u w:val="single"/>
                <w:lang w:val="sr-Latn-BA" w:eastAsia="sr-Latn-BA"/>
              </w:rPr>
              <w:t>13.171</w:t>
            </w:r>
          </w:p>
        </w:tc>
      </w:tr>
    </w:tbl>
    <w:p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rsidR="00952D10" w:rsidRPr="00D35CDB" w:rsidRDefault="00952D10" w:rsidP="00D35CDB">
      <w:pPr>
        <w:pStyle w:val="Heading1"/>
        <w:rPr>
          <w:rFonts w:ascii="Calibri" w:hAnsi="Calibri" w:cs="Calibri"/>
          <w:noProof/>
          <w:sz w:val="28"/>
          <w:szCs w:val="28"/>
        </w:rPr>
      </w:pPr>
      <w:bookmarkStart w:id="19" w:name="_Toc64534447"/>
      <w:r w:rsidRPr="00A47E7E">
        <w:rPr>
          <w:rFonts w:ascii="Calibri" w:hAnsi="Calibri" w:cs="Calibri"/>
          <w:noProof/>
          <w:sz w:val="24"/>
          <w:szCs w:val="24"/>
        </w:rPr>
        <w:t>NAKNADA DRUŠTVU ZA</w:t>
      </w:r>
      <w:r w:rsidR="003B2B12">
        <w:rPr>
          <w:rFonts w:ascii="Calibri" w:hAnsi="Calibri" w:cs="Calibri"/>
          <w:noProof/>
          <w:sz w:val="24"/>
          <w:szCs w:val="24"/>
        </w:rPr>
        <w:t xml:space="preserve"> </w:t>
      </w:r>
      <w:r w:rsidRPr="00A47E7E">
        <w:rPr>
          <w:rFonts w:ascii="Calibri" w:hAnsi="Calibri" w:cs="Calibri"/>
          <w:noProof/>
          <w:sz w:val="24"/>
          <w:szCs w:val="24"/>
        </w:rPr>
        <w:t xml:space="preserve"> </w:t>
      </w:r>
      <w:r w:rsidRPr="003B2B12">
        <w:rPr>
          <w:rFonts w:ascii="Calibri" w:hAnsi="Calibri" w:cs="Calibri"/>
          <w:noProof/>
          <w:sz w:val="24"/>
          <w:szCs w:val="24"/>
        </w:rPr>
        <w:t>UPRAVLJANJE</w:t>
      </w:r>
      <w:bookmarkEnd w:id="19"/>
      <w:r w:rsidR="003B2B12" w:rsidRPr="003B2B12">
        <w:rPr>
          <w:rFonts w:ascii="Calibri" w:hAnsi="Calibri" w:cs="Calibri"/>
          <w:noProof/>
          <w:sz w:val="24"/>
          <w:szCs w:val="24"/>
        </w:rPr>
        <w:t xml:space="preserve"> </w:t>
      </w:r>
      <w:r w:rsidR="008776D1" w:rsidRPr="003B2B12">
        <w:rPr>
          <w:rFonts w:ascii="Calibri" w:hAnsi="Calibri" w:cs="Calibri"/>
          <w:noProof/>
          <w:sz w:val="24"/>
          <w:szCs w:val="24"/>
        </w:rPr>
        <w:t xml:space="preserve"> </w:t>
      </w:r>
    </w:p>
    <w:p w:rsidR="00952D10"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8776D1">
        <w:rPr>
          <w:rFonts w:ascii="Calibri" w:hAnsi="Calibri" w:cs="Calibri"/>
          <w:noProof/>
        </w:rPr>
        <w:t xml:space="preserve">izvještajni period  </w:t>
      </w:r>
      <w:r w:rsidR="00312409">
        <w:rPr>
          <w:rFonts w:ascii="Calibri" w:hAnsi="Calibri" w:cs="Calibri"/>
          <w:noProof/>
        </w:rPr>
        <w:t>30.06</w:t>
      </w:r>
      <w:r w:rsidR="00B612F6">
        <w:rPr>
          <w:rFonts w:ascii="Calibri" w:hAnsi="Calibri" w:cs="Calibri"/>
          <w:noProof/>
        </w:rPr>
        <w:t>.</w:t>
      </w:r>
      <w:r w:rsidR="004D4B92">
        <w:rPr>
          <w:rFonts w:ascii="Calibri" w:hAnsi="Calibri" w:cs="Calibri"/>
          <w:noProof/>
        </w:rPr>
        <w:t>2021</w:t>
      </w:r>
      <w:r w:rsidR="002F6327">
        <w:rPr>
          <w:rFonts w:ascii="Calibri" w:hAnsi="Calibri" w:cs="Calibri"/>
          <w:noProof/>
        </w:rPr>
        <w:t>. godine</w:t>
      </w:r>
      <w:r w:rsidRPr="00A47E7E">
        <w:rPr>
          <w:rFonts w:ascii="Calibri" w:hAnsi="Calibri" w:cs="Calibri"/>
          <w:noProof/>
        </w:rPr>
        <w:t xml:space="preserve"> u iznosu od </w:t>
      </w:r>
      <w:r w:rsidR="00312409">
        <w:rPr>
          <w:rFonts w:ascii="Calibri" w:hAnsi="Calibri" w:cs="Calibri"/>
          <w:noProof/>
        </w:rPr>
        <w:t>28.344</w:t>
      </w:r>
      <w:r w:rsidR="008776D1">
        <w:rPr>
          <w:rFonts w:ascii="Calibri" w:hAnsi="Calibri" w:cs="Calibri"/>
          <w:noProof/>
        </w:rPr>
        <w:t xml:space="preserve"> </w:t>
      </w:r>
      <w:r w:rsidRPr="00A47E7E">
        <w:rPr>
          <w:rFonts w:ascii="Calibri" w:hAnsi="Calibri" w:cs="Calibri"/>
          <w:noProof/>
        </w:rPr>
        <w:t xml:space="preserve">Konvertibilnih maraka cjelokupno se odnose na naknadu Društvu za upravljanje.  Visina naknade se obračunava od strane </w:t>
      </w:r>
      <w:r w:rsidR="000924CB" w:rsidRPr="00A47E7E">
        <w:rPr>
          <w:rFonts w:ascii="Calibri" w:hAnsi="Calibri" w:cs="Calibri"/>
          <w:noProof/>
        </w:rPr>
        <w:t>Društva</w:t>
      </w:r>
      <w:r w:rsidR="008776D1">
        <w:rPr>
          <w:rFonts w:ascii="Calibri" w:hAnsi="Calibri" w:cs="Calibri"/>
          <w:noProof/>
        </w:rPr>
        <w:t>,</w:t>
      </w:r>
      <w:r w:rsidRPr="00A47E7E">
        <w:rPr>
          <w:rFonts w:ascii="Calibri" w:hAnsi="Calibri" w:cs="Calibri"/>
          <w:noProof/>
        </w:rPr>
        <w:t xml:space="preserve"> a tačnost potvrđuje Nova Banka ad</w:t>
      </w:r>
      <w:r w:rsidR="008776D1">
        <w:rPr>
          <w:rFonts w:ascii="Calibri" w:hAnsi="Calibri" w:cs="Calibri"/>
          <w:noProof/>
        </w:rPr>
        <w:t xml:space="preserve"> Banja Luka kao depozitar Fonda</w:t>
      </w:r>
      <w:r w:rsidR="007E1727">
        <w:rPr>
          <w:rFonts w:ascii="Calibri" w:hAnsi="Calibri" w:cs="Calibri"/>
          <w:noProof/>
        </w:rPr>
        <w:t>.</w:t>
      </w:r>
      <w:r w:rsidR="008776D1">
        <w:rPr>
          <w:rFonts w:ascii="Calibri" w:hAnsi="Calibri" w:cs="Calibri"/>
          <w:noProof/>
        </w:rPr>
        <w:t xml:space="preserve"> </w:t>
      </w:r>
    </w:p>
    <w:p w:rsidR="0037282B" w:rsidRDefault="0037282B" w:rsidP="000924CB">
      <w:pPr>
        <w:tabs>
          <w:tab w:val="left" w:pos="-1440"/>
          <w:tab w:val="left" w:pos="-720"/>
          <w:tab w:val="left" w:pos="889"/>
          <w:tab w:val="left" w:pos="1231"/>
          <w:tab w:val="right" w:pos="8960"/>
        </w:tabs>
        <w:jc w:val="both"/>
        <w:rPr>
          <w:rFonts w:ascii="Calibri" w:hAnsi="Calibri" w:cs="Calibri"/>
          <w:noProof/>
        </w:rPr>
      </w:pPr>
    </w:p>
    <w:p w:rsidR="007E1727" w:rsidRPr="00A47E7E" w:rsidRDefault="007E1727" w:rsidP="007E1727">
      <w:pPr>
        <w:pStyle w:val="Heading1"/>
        <w:rPr>
          <w:rFonts w:ascii="Calibri" w:hAnsi="Calibri" w:cs="Calibri"/>
          <w:noProof/>
          <w:sz w:val="24"/>
          <w:szCs w:val="24"/>
        </w:rPr>
      </w:pPr>
      <w:bookmarkStart w:id="20" w:name="_Toc64534448"/>
      <w:r w:rsidRPr="00A47E7E">
        <w:rPr>
          <w:rFonts w:ascii="Calibri" w:hAnsi="Calibri" w:cs="Calibri"/>
          <w:noProof/>
          <w:sz w:val="24"/>
          <w:szCs w:val="24"/>
        </w:rPr>
        <w:t xml:space="preserve">NAKNADA </w:t>
      </w:r>
      <w:r>
        <w:rPr>
          <w:rFonts w:ascii="Calibri" w:hAnsi="Calibri" w:cs="Calibri"/>
          <w:noProof/>
          <w:sz w:val="24"/>
          <w:szCs w:val="24"/>
        </w:rPr>
        <w:t>DEPOZITARU</w:t>
      </w:r>
      <w:bookmarkEnd w:id="20"/>
      <w:r>
        <w:rPr>
          <w:rFonts w:ascii="Calibri" w:hAnsi="Calibri" w:cs="Calibri"/>
          <w:noProof/>
          <w:sz w:val="24"/>
          <w:szCs w:val="24"/>
        </w:rPr>
        <w:t xml:space="preserve"> </w:t>
      </w:r>
    </w:p>
    <w:tbl>
      <w:tblPr>
        <w:tblW w:w="8068" w:type="dxa"/>
        <w:tblInd w:w="99" w:type="dxa"/>
        <w:tblLook w:val="04A0" w:firstRow="1" w:lastRow="0" w:firstColumn="1" w:lastColumn="0" w:noHBand="0" w:noVBand="1"/>
      </w:tblPr>
      <w:tblGrid>
        <w:gridCol w:w="5120"/>
        <w:gridCol w:w="1760"/>
        <w:gridCol w:w="1188"/>
      </w:tblGrid>
      <w:tr w:rsidR="007E1727" w:rsidRPr="00620BD3" w:rsidTr="0078483D">
        <w:trPr>
          <w:trHeight w:val="310"/>
        </w:trPr>
        <w:tc>
          <w:tcPr>
            <w:tcW w:w="5120" w:type="dxa"/>
            <w:tcBorders>
              <w:top w:val="nil"/>
              <w:left w:val="nil"/>
              <w:bottom w:val="nil"/>
              <w:right w:val="nil"/>
            </w:tcBorders>
            <w:shd w:val="clear" w:color="000000" w:fill="FFFFFF"/>
            <w:noWrap/>
            <w:vAlign w:val="bottom"/>
            <w:hideMark/>
          </w:tcPr>
          <w:p w:rsidR="007E1727" w:rsidRPr="00620BD3" w:rsidRDefault="007E1727" w:rsidP="0078483D">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7E1727" w:rsidRPr="00620BD3" w:rsidRDefault="007E1727" w:rsidP="0078483D">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333524">
              <w:rPr>
                <w:rFonts w:ascii="Calibri" w:hAnsi="Calibri"/>
                <w:b/>
                <w:bCs/>
                <w:color w:val="000000"/>
                <w:lang w:val="sr-Latn-BA" w:eastAsia="sr-Latn-BA"/>
              </w:rPr>
              <w:t>2</w:t>
            </w:r>
            <w:r w:rsidR="004D4B92">
              <w:rPr>
                <w:rFonts w:ascii="Calibri" w:hAnsi="Calibri"/>
                <w:b/>
                <w:bCs/>
                <w:color w:val="000000"/>
                <w:lang w:val="sr-Latn-BA" w:eastAsia="sr-Latn-BA"/>
              </w:rPr>
              <w:t>1</w:t>
            </w:r>
          </w:p>
        </w:tc>
        <w:tc>
          <w:tcPr>
            <w:tcW w:w="1188" w:type="dxa"/>
            <w:tcBorders>
              <w:top w:val="nil"/>
              <w:left w:val="nil"/>
              <w:bottom w:val="nil"/>
              <w:right w:val="nil"/>
            </w:tcBorders>
            <w:shd w:val="clear" w:color="000000" w:fill="FFFFFF"/>
            <w:noWrap/>
            <w:vAlign w:val="bottom"/>
            <w:hideMark/>
          </w:tcPr>
          <w:p w:rsidR="007E1727" w:rsidRPr="00620BD3" w:rsidRDefault="007E1727" w:rsidP="0078483D">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4D4B92">
              <w:rPr>
                <w:rFonts w:ascii="Calibri" w:hAnsi="Calibri"/>
                <w:b/>
                <w:bCs/>
                <w:color w:val="000000"/>
                <w:lang w:val="sr-Latn-BA" w:eastAsia="sr-Latn-BA"/>
              </w:rPr>
              <w:t>20</w:t>
            </w:r>
          </w:p>
        </w:tc>
      </w:tr>
      <w:tr w:rsidR="007E1727" w:rsidRPr="00620BD3" w:rsidTr="0078483D">
        <w:trPr>
          <w:trHeight w:val="310"/>
        </w:trPr>
        <w:tc>
          <w:tcPr>
            <w:tcW w:w="5120" w:type="dxa"/>
            <w:tcBorders>
              <w:top w:val="nil"/>
              <w:left w:val="nil"/>
              <w:bottom w:val="nil"/>
              <w:right w:val="nil"/>
            </w:tcBorders>
            <w:shd w:val="clear" w:color="000000" w:fill="FFFFFF"/>
            <w:noWrap/>
            <w:vAlign w:val="bottom"/>
            <w:hideMark/>
          </w:tcPr>
          <w:p w:rsidR="007E1727" w:rsidRPr="00620BD3" w:rsidRDefault="007E1727" w:rsidP="0078483D">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7E1727" w:rsidRPr="00620BD3" w:rsidRDefault="007E1727" w:rsidP="0078483D">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188" w:type="dxa"/>
            <w:tcBorders>
              <w:top w:val="nil"/>
              <w:left w:val="nil"/>
              <w:bottom w:val="nil"/>
              <w:right w:val="nil"/>
            </w:tcBorders>
            <w:shd w:val="clear" w:color="000000" w:fill="FFFFFF"/>
            <w:noWrap/>
            <w:vAlign w:val="bottom"/>
            <w:hideMark/>
          </w:tcPr>
          <w:p w:rsidR="007E1727" w:rsidRPr="00620BD3" w:rsidRDefault="007E1727" w:rsidP="0078483D">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7E1727" w:rsidRPr="00620BD3" w:rsidTr="0078483D">
        <w:trPr>
          <w:trHeight w:val="310"/>
        </w:trPr>
        <w:tc>
          <w:tcPr>
            <w:tcW w:w="5120" w:type="dxa"/>
            <w:tcBorders>
              <w:top w:val="nil"/>
              <w:left w:val="nil"/>
              <w:bottom w:val="nil"/>
              <w:right w:val="nil"/>
            </w:tcBorders>
            <w:shd w:val="clear" w:color="000000" w:fill="FFFFFF"/>
            <w:noWrap/>
            <w:vAlign w:val="bottom"/>
            <w:hideMark/>
          </w:tcPr>
          <w:p w:rsidR="007E1727" w:rsidRPr="00620BD3" w:rsidRDefault="007E1727" w:rsidP="0078483D">
            <w:pPr>
              <w:rPr>
                <w:rFonts w:ascii="Calibri" w:hAnsi="Calibri"/>
                <w:lang w:val="sr-Latn-BA" w:eastAsia="sr-Latn-BA"/>
              </w:rPr>
            </w:pPr>
            <w:r>
              <w:rPr>
                <w:rFonts w:ascii="Calibri" w:hAnsi="Calibri"/>
                <w:lang w:val="sr-Latn-BA" w:eastAsia="sr-Latn-BA"/>
              </w:rPr>
              <w:t xml:space="preserve">Naknada depozitaru </w:t>
            </w:r>
          </w:p>
        </w:tc>
        <w:tc>
          <w:tcPr>
            <w:tcW w:w="1760" w:type="dxa"/>
            <w:tcBorders>
              <w:top w:val="nil"/>
              <w:left w:val="nil"/>
              <w:bottom w:val="nil"/>
              <w:right w:val="nil"/>
            </w:tcBorders>
            <w:shd w:val="clear" w:color="000000" w:fill="FFFFFF"/>
            <w:noWrap/>
            <w:vAlign w:val="bottom"/>
            <w:hideMark/>
          </w:tcPr>
          <w:p w:rsidR="007E1727" w:rsidRPr="00620BD3" w:rsidRDefault="007E1727" w:rsidP="004D4B92">
            <w:pPr>
              <w:jc w:val="right"/>
              <w:rPr>
                <w:rFonts w:ascii="Calibri" w:hAnsi="Calibri"/>
                <w:color w:val="000000"/>
                <w:lang w:val="sr-Latn-BA" w:eastAsia="sr-Latn-BA"/>
              </w:rPr>
            </w:pPr>
            <w:r w:rsidRPr="00620BD3">
              <w:rPr>
                <w:rFonts w:ascii="Calibri" w:hAnsi="Calibri"/>
                <w:color w:val="000000"/>
                <w:lang w:val="sr-Latn-BA" w:eastAsia="sr-Latn-BA"/>
              </w:rPr>
              <w:t xml:space="preserve">         </w:t>
            </w:r>
            <w:r w:rsidR="00312409">
              <w:rPr>
                <w:rFonts w:ascii="Calibri" w:hAnsi="Calibri"/>
                <w:color w:val="000000"/>
                <w:lang w:val="sr-Latn-BA" w:eastAsia="sr-Latn-BA"/>
              </w:rPr>
              <w:t>1.594</w:t>
            </w:r>
          </w:p>
        </w:tc>
        <w:tc>
          <w:tcPr>
            <w:tcW w:w="1188" w:type="dxa"/>
            <w:tcBorders>
              <w:top w:val="nil"/>
              <w:left w:val="nil"/>
              <w:bottom w:val="nil"/>
              <w:right w:val="nil"/>
            </w:tcBorders>
            <w:shd w:val="clear" w:color="000000" w:fill="FFFFFF"/>
            <w:vAlign w:val="center"/>
            <w:hideMark/>
          </w:tcPr>
          <w:p w:rsidR="007E1727" w:rsidRPr="00620BD3" w:rsidRDefault="005C2647" w:rsidP="0078483D">
            <w:pPr>
              <w:jc w:val="right"/>
              <w:rPr>
                <w:rFonts w:ascii="Calibri" w:hAnsi="Calibri"/>
                <w:color w:val="000000"/>
                <w:lang w:val="sr-Latn-BA" w:eastAsia="sr-Latn-BA"/>
              </w:rPr>
            </w:pPr>
            <w:r>
              <w:rPr>
                <w:rFonts w:ascii="Calibri" w:hAnsi="Calibri"/>
                <w:color w:val="000000"/>
                <w:lang w:val="sr-Latn-BA" w:eastAsia="sr-Latn-BA"/>
              </w:rPr>
              <w:t>2.4</w:t>
            </w:r>
            <w:r w:rsidR="004D4B92">
              <w:rPr>
                <w:rFonts w:ascii="Calibri" w:hAnsi="Calibri"/>
                <w:color w:val="000000"/>
                <w:lang w:val="sr-Latn-BA" w:eastAsia="sr-Latn-BA"/>
              </w:rPr>
              <w:t>00</w:t>
            </w:r>
          </w:p>
        </w:tc>
      </w:tr>
      <w:tr w:rsidR="007E1727" w:rsidRPr="00620BD3" w:rsidTr="0078483D">
        <w:trPr>
          <w:trHeight w:val="310"/>
        </w:trPr>
        <w:tc>
          <w:tcPr>
            <w:tcW w:w="5120" w:type="dxa"/>
            <w:tcBorders>
              <w:top w:val="nil"/>
              <w:left w:val="nil"/>
              <w:bottom w:val="nil"/>
              <w:right w:val="nil"/>
            </w:tcBorders>
            <w:shd w:val="clear" w:color="000000" w:fill="FFFFFF"/>
            <w:noWrap/>
            <w:vAlign w:val="bottom"/>
            <w:hideMark/>
          </w:tcPr>
          <w:p w:rsidR="007E1727" w:rsidRPr="00620BD3" w:rsidRDefault="007E1727" w:rsidP="0078483D">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7E1727" w:rsidRPr="00620BD3" w:rsidRDefault="007E1727" w:rsidP="0078483D">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188" w:type="dxa"/>
            <w:tcBorders>
              <w:top w:val="nil"/>
              <w:left w:val="nil"/>
              <w:bottom w:val="nil"/>
              <w:right w:val="nil"/>
            </w:tcBorders>
            <w:shd w:val="clear" w:color="000000" w:fill="FFFFFF"/>
            <w:vAlign w:val="center"/>
            <w:hideMark/>
          </w:tcPr>
          <w:p w:rsidR="007E1727" w:rsidRPr="00620BD3" w:rsidRDefault="007E1727" w:rsidP="0078483D">
            <w:pPr>
              <w:jc w:val="right"/>
              <w:rPr>
                <w:rFonts w:ascii="Calibri" w:hAnsi="Calibri"/>
                <w:color w:val="000000"/>
                <w:lang w:val="sr-Latn-BA" w:eastAsia="sr-Latn-BA"/>
              </w:rPr>
            </w:pPr>
            <w:r w:rsidRPr="00620BD3">
              <w:rPr>
                <w:rFonts w:ascii="Calibri" w:hAnsi="Calibri"/>
                <w:color w:val="000000"/>
                <w:lang w:val="sr-Latn-BA" w:eastAsia="sr-Latn-BA"/>
              </w:rPr>
              <w:t> </w:t>
            </w:r>
          </w:p>
        </w:tc>
      </w:tr>
      <w:tr w:rsidR="007E1727" w:rsidRPr="00620BD3" w:rsidTr="0078483D">
        <w:trPr>
          <w:trHeight w:val="370"/>
        </w:trPr>
        <w:tc>
          <w:tcPr>
            <w:tcW w:w="5120" w:type="dxa"/>
            <w:tcBorders>
              <w:top w:val="nil"/>
              <w:left w:val="nil"/>
              <w:bottom w:val="nil"/>
              <w:right w:val="nil"/>
            </w:tcBorders>
            <w:shd w:val="clear" w:color="000000" w:fill="FFFFFF"/>
            <w:noWrap/>
            <w:vAlign w:val="bottom"/>
            <w:hideMark/>
          </w:tcPr>
          <w:p w:rsidR="007E1727" w:rsidRPr="00620BD3" w:rsidRDefault="007E1727" w:rsidP="0078483D">
            <w:pPr>
              <w:rPr>
                <w:rFonts w:ascii="Calibri" w:hAnsi="Calibri"/>
                <w:b/>
                <w:bCs/>
                <w:lang w:val="sr-Latn-BA" w:eastAsia="sr-Latn-BA"/>
              </w:rPr>
            </w:pPr>
            <w:r w:rsidRPr="00620BD3">
              <w:rPr>
                <w:rFonts w:ascii="Calibri" w:hAnsi="Calibri"/>
                <w:b/>
                <w:bCs/>
                <w:lang w:val="sr-Latn-BA" w:eastAsia="sr-Latn-BA"/>
              </w:rPr>
              <w:t>Za go</w:t>
            </w:r>
            <w:r w:rsidR="00312409">
              <w:rPr>
                <w:rFonts w:ascii="Calibri" w:hAnsi="Calibri"/>
                <w:b/>
                <w:bCs/>
                <w:lang w:val="sr-Latn-BA" w:eastAsia="sr-Latn-BA"/>
              </w:rPr>
              <w:t>dinu koja se završila 30.06</w:t>
            </w:r>
            <w:r w:rsidR="004D4B92">
              <w:rPr>
                <w:rFonts w:ascii="Calibri" w:hAnsi="Calibri"/>
                <w:b/>
                <w:bCs/>
                <w:lang w:val="sr-Latn-BA" w:eastAsia="sr-Latn-BA"/>
              </w:rPr>
              <w:t>.2021</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7E1727" w:rsidRPr="004D4B92" w:rsidRDefault="00312409" w:rsidP="00F23FFD">
            <w:pPr>
              <w:jc w:val="right"/>
              <w:rPr>
                <w:rFonts w:ascii="Calibri" w:hAnsi="Calibri"/>
                <w:b/>
                <w:color w:val="000000"/>
                <w:u w:val="single"/>
                <w:lang w:val="sr-Latn-BA" w:eastAsia="sr-Latn-BA"/>
              </w:rPr>
            </w:pPr>
            <w:r>
              <w:rPr>
                <w:rFonts w:ascii="Calibri" w:hAnsi="Calibri"/>
                <w:b/>
                <w:color w:val="000000"/>
                <w:u w:val="single"/>
                <w:lang w:val="sr-Latn-BA" w:eastAsia="sr-Latn-BA"/>
              </w:rPr>
              <w:t>1.594</w:t>
            </w:r>
            <w:r w:rsidR="007E1727" w:rsidRPr="004D4B92">
              <w:rPr>
                <w:rFonts w:ascii="Calibri" w:hAnsi="Calibri"/>
                <w:b/>
                <w:color w:val="000000"/>
                <w:u w:val="single"/>
                <w:lang w:val="sr-Latn-BA" w:eastAsia="sr-Latn-BA"/>
              </w:rPr>
              <w:t xml:space="preserve"> </w:t>
            </w:r>
          </w:p>
        </w:tc>
        <w:tc>
          <w:tcPr>
            <w:tcW w:w="1188" w:type="dxa"/>
            <w:tcBorders>
              <w:top w:val="nil"/>
              <w:left w:val="nil"/>
              <w:bottom w:val="nil"/>
              <w:right w:val="nil"/>
            </w:tcBorders>
            <w:shd w:val="clear" w:color="000000" w:fill="FFFFFF"/>
            <w:noWrap/>
            <w:vAlign w:val="bottom"/>
            <w:hideMark/>
          </w:tcPr>
          <w:p w:rsidR="007E1727" w:rsidRPr="00620BD3" w:rsidRDefault="005C2647" w:rsidP="0078483D">
            <w:pPr>
              <w:jc w:val="right"/>
              <w:rPr>
                <w:rFonts w:ascii="Calibri" w:hAnsi="Calibri"/>
                <w:color w:val="000000"/>
                <w:u w:val="single"/>
                <w:lang w:val="sr-Latn-BA" w:eastAsia="sr-Latn-BA"/>
              </w:rPr>
            </w:pPr>
            <w:r>
              <w:rPr>
                <w:rFonts w:ascii="Calibri" w:hAnsi="Calibri"/>
                <w:b/>
                <w:color w:val="000000"/>
                <w:u w:val="single"/>
                <w:lang w:val="sr-Latn-BA" w:eastAsia="sr-Latn-BA"/>
              </w:rPr>
              <w:t>2.4</w:t>
            </w:r>
            <w:r w:rsidR="004D4B92">
              <w:rPr>
                <w:rFonts w:ascii="Calibri" w:hAnsi="Calibri"/>
                <w:b/>
                <w:color w:val="000000"/>
                <w:u w:val="single"/>
                <w:lang w:val="sr-Latn-BA" w:eastAsia="sr-Latn-BA"/>
              </w:rPr>
              <w:t>00</w:t>
            </w:r>
          </w:p>
        </w:tc>
      </w:tr>
    </w:tbl>
    <w:p w:rsidR="00952D10" w:rsidRPr="00A47E7E" w:rsidRDefault="00952D10" w:rsidP="00952D10">
      <w:pPr>
        <w:tabs>
          <w:tab w:val="left" w:pos="-1440"/>
          <w:tab w:val="left" w:pos="-720"/>
          <w:tab w:val="left" w:pos="889"/>
          <w:tab w:val="left" w:pos="1231"/>
          <w:tab w:val="right" w:pos="8960"/>
        </w:tabs>
        <w:rPr>
          <w:rFonts w:ascii="Calibri" w:hAnsi="Calibri" w:cs="Calibri"/>
          <w:noProof/>
        </w:rPr>
      </w:pPr>
    </w:p>
    <w:p w:rsidR="00952D10" w:rsidRDefault="00952D10" w:rsidP="00B64A52">
      <w:pPr>
        <w:pStyle w:val="Heading1"/>
        <w:rPr>
          <w:rFonts w:ascii="Calibri" w:hAnsi="Calibri" w:cs="Calibri"/>
          <w:noProof/>
          <w:sz w:val="24"/>
          <w:szCs w:val="24"/>
          <w:lang w:val="sr-Latn-CS"/>
        </w:rPr>
      </w:pPr>
      <w:bookmarkStart w:id="21" w:name="_Toc64534449"/>
      <w:r w:rsidRPr="00A47E7E">
        <w:rPr>
          <w:rFonts w:ascii="Calibri" w:hAnsi="Calibri" w:cs="Calibri"/>
          <w:noProof/>
          <w:sz w:val="24"/>
          <w:szCs w:val="24"/>
          <w:lang w:val="sr-Latn-CS"/>
        </w:rPr>
        <w:t>OSTALI POSLOVNI RASHODI FONDA</w:t>
      </w:r>
      <w:bookmarkEnd w:id="21"/>
    </w:p>
    <w:tbl>
      <w:tblPr>
        <w:tblW w:w="8089" w:type="dxa"/>
        <w:tblInd w:w="99" w:type="dxa"/>
        <w:tblLook w:val="04A0" w:firstRow="1" w:lastRow="0" w:firstColumn="1" w:lastColumn="0" w:noHBand="0" w:noVBand="1"/>
      </w:tblPr>
      <w:tblGrid>
        <w:gridCol w:w="5120"/>
        <w:gridCol w:w="1760"/>
        <w:gridCol w:w="1209"/>
      </w:tblGrid>
      <w:tr w:rsidR="00620BD3" w:rsidRPr="00620BD3" w:rsidTr="005C2647">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333524">
              <w:rPr>
                <w:rFonts w:ascii="Calibri" w:hAnsi="Calibri"/>
                <w:b/>
                <w:bCs/>
                <w:color w:val="000000"/>
                <w:lang w:val="sr-Latn-BA" w:eastAsia="sr-Latn-BA"/>
              </w:rPr>
              <w:t>2</w:t>
            </w:r>
            <w:r w:rsidR="004D4B92">
              <w:rPr>
                <w:rFonts w:ascii="Calibri" w:hAnsi="Calibri"/>
                <w:b/>
                <w:bCs/>
                <w:color w:val="000000"/>
                <w:lang w:val="sr-Latn-BA" w:eastAsia="sr-Latn-BA"/>
              </w:rPr>
              <w:t>1</w:t>
            </w:r>
          </w:p>
        </w:tc>
        <w:tc>
          <w:tcPr>
            <w:tcW w:w="1209"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4D4B92">
              <w:rPr>
                <w:rFonts w:ascii="Calibri" w:hAnsi="Calibri"/>
                <w:b/>
                <w:bCs/>
                <w:color w:val="000000"/>
                <w:lang w:val="sr-Latn-BA" w:eastAsia="sr-Latn-BA"/>
              </w:rPr>
              <w:t>20</w:t>
            </w:r>
          </w:p>
        </w:tc>
      </w:tr>
      <w:tr w:rsidR="00620BD3" w:rsidRPr="00620BD3" w:rsidTr="005C2647">
        <w:trPr>
          <w:trHeight w:val="339"/>
        </w:trPr>
        <w:tc>
          <w:tcPr>
            <w:tcW w:w="5120" w:type="dxa"/>
            <w:tcBorders>
              <w:top w:val="nil"/>
              <w:left w:val="nil"/>
              <w:bottom w:val="nil"/>
              <w:right w:val="nil"/>
            </w:tcBorders>
            <w:shd w:val="clear" w:color="000000" w:fill="FFFFFF"/>
            <w:noWrap/>
            <w:vAlign w:val="bottom"/>
            <w:hideMark/>
          </w:tcPr>
          <w:p w:rsidR="00620BD3" w:rsidRPr="00620BD3" w:rsidRDefault="00620BD3" w:rsidP="007E1727">
            <w:pPr>
              <w:rPr>
                <w:rFonts w:ascii="Calibri" w:hAnsi="Calibri"/>
                <w:lang w:val="sr-Latn-BA" w:eastAsia="sr-Latn-BA"/>
              </w:rPr>
            </w:pPr>
            <w:r w:rsidRPr="00620BD3">
              <w:rPr>
                <w:rFonts w:ascii="Calibri" w:hAnsi="Calibri"/>
                <w:lang w:val="sr-Latn-BA" w:eastAsia="sr-Latn-BA"/>
              </w:rPr>
              <w:t xml:space="preserve">Troškovi </w:t>
            </w:r>
            <w:r w:rsidR="007E1727">
              <w:rPr>
                <w:rFonts w:ascii="Calibri" w:hAnsi="Calibri"/>
                <w:lang w:val="sr-Latn-BA" w:eastAsia="sr-Latn-BA"/>
              </w:rPr>
              <w:t xml:space="preserve">platnog prometa </w:t>
            </w:r>
          </w:p>
        </w:tc>
        <w:tc>
          <w:tcPr>
            <w:tcW w:w="1760" w:type="dxa"/>
            <w:tcBorders>
              <w:top w:val="nil"/>
              <w:left w:val="nil"/>
              <w:bottom w:val="nil"/>
              <w:right w:val="nil"/>
            </w:tcBorders>
            <w:shd w:val="clear" w:color="000000" w:fill="FFFFFF"/>
            <w:noWrap/>
            <w:vAlign w:val="bottom"/>
            <w:hideMark/>
          </w:tcPr>
          <w:p w:rsidR="00620BD3" w:rsidRPr="00620BD3" w:rsidRDefault="00620BD3" w:rsidP="00312409">
            <w:pPr>
              <w:jc w:val="right"/>
              <w:rPr>
                <w:rFonts w:ascii="Calibri" w:hAnsi="Calibri"/>
                <w:color w:val="000000"/>
                <w:lang w:val="sr-Latn-BA" w:eastAsia="sr-Latn-BA"/>
              </w:rPr>
            </w:pPr>
            <w:r w:rsidRPr="00620BD3">
              <w:rPr>
                <w:rFonts w:ascii="Calibri" w:hAnsi="Calibri"/>
                <w:color w:val="000000"/>
                <w:lang w:val="sr-Latn-BA" w:eastAsia="sr-Latn-BA"/>
              </w:rPr>
              <w:t xml:space="preserve">         </w:t>
            </w:r>
            <w:r w:rsidR="00312409">
              <w:rPr>
                <w:rFonts w:ascii="Calibri" w:hAnsi="Calibri"/>
                <w:color w:val="000000"/>
                <w:lang w:val="sr-Latn-BA" w:eastAsia="sr-Latn-BA"/>
              </w:rPr>
              <w:t>200</w:t>
            </w:r>
            <w:r w:rsidRPr="00620BD3">
              <w:rPr>
                <w:rFonts w:ascii="Calibri" w:hAnsi="Calibri"/>
                <w:color w:val="000000"/>
                <w:lang w:val="sr-Latn-BA" w:eastAsia="sr-Latn-BA"/>
              </w:rPr>
              <w:t xml:space="preserve">    </w:t>
            </w:r>
          </w:p>
        </w:tc>
        <w:tc>
          <w:tcPr>
            <w:tcW w:w="1209" w:type="dxa"/>
            <w:tcBorders>
              <w:top w:val="nil"/>
              <w:left w:val="nil"/>
              <w:bottom w:val="nil"/>
              <w:right w:val="nil"/>
            </w:tcBorders>
            <w:shd w:val="clear" w:color="000000" w:fill="FFFFFF"/>
            <w:vAlign w:val="center"/>
            <w:hideMark/>
          </w:tcPr>
          <w:p w:rsidR="00D35FA7" w:rsidRPr="0020093E" w:rsidRDefault="00333524" w:rsidP="0020093E">
            <w:pPr>
              <w:jc w:val="right"/>
              <w:rPr>
                <w:rFonts w:ascii="Calibri" w:hAnsi="Calibri"/>
                <w:color w:val="000000"/>
                <w:lang w:val="sr-Latn-BA" w:eastAsia="sr-Latn-BA"/>
              </w:rPr>
            </w:pPr>
            <w:r w:rsidRPr="0020093E">
              <w:rPr>
                <w:rFonts w:ascii="Calibri" w:hAnsi="Calibri"/>
                <w:color w:val="000000"/>
                <w:lang w:val="sr-Latn-BA" w:eastAsia="sr-Latn-BA"/>
              </w:rPr>
              <w:t xml:space="preserve">          </w:t>
            </w:r>
            <w:r w:rsidR="007E4A17" w:rsidRPr="0020093E">
              <w:rPr>
                <w:rFonts w:ascii="Calibri" w:hAnsi="Calibri"/>
                <w:color w:val="000000"/>
                <w:lang w:val="sr-Latn-BA" w:eastAsia="sr-Latn-BA"/>
              </w:rPr>
              <w:t xml:space="preserve">  </w:t>
            </w:r>
            <w:r w:rsidR="003016A8" w:rsidRPr="0020093E">
              <w:rPr>
                <w:rFonts w:ascii="Calibri" w:hAnsi="Calibri"/>
                <w:color w:val="000000"/>
                <w:lang w:val="sr-Latn-BA" w:eastAsia="sr-Latn-BA"/>
              </w:rPr>
              <w:t xml:space="preserve"> </w:t>
            </w:r>
            <w:r w:rsidR="005C2647">
              <w:rPr>
                <w:rFonts w:ascii="Calibri" w:hAnsi="Calibri"/>
                <w:color w:val="000000"/>
                <w:lang w:val="sr-Latn-BA" w:eastAsia="sr-Latn-BA"/>
              </w:rPr>
              <w:t>133</w:t>
            </w:r>
            <w:r w:rsidR="00620BD3" w:rsidRPr="0020093E">
              <w:rPr>
                <w:rFonts w:ascii="Calibri" w:hAnsi="Calibri"/>
                <w:color w:val="000000"/>
                <w:lang w:val="sr-Latn-BA" w:eastAsia="sr-Latn-BA"/>
              </w:rPr>
              <w:t> </w:t>
            </w:r>
          </w:p>
        </w:tc>
      </w:tr>
      <w:tr w:rsidR="007E1727" w:rsidRPr="00620BD3" w:rsidTr="005C2647">
        <w:trPr>
          <w:trHeight w:val="310"/>
        </w:trPr>
        <w:tc>
          <w:tcPr>
            <w:tcW w:w="5120" w:type="dxa"/>
            <w:tcBorders>
              <w:top w:val="nil"/>
              <w:left w:val="nil"/>
              <w:bottom w:val="nil"/>
              <w:right w:val="nil"/>
            </w:tcBorders>
            <w:shd w:val="clear" w:color="000000" w:fill="FFFFFF"/>
            <w:noWrap/>
            <w:vAlign w:val="bottom"/>
            <w:hideMark/>
          </w:tcPr>
          <w:p w:rsidR="007E1727" w:rsidRPr="00620BD3" w:rsidRDefault="007E1727" w:rsidP="007E1727">
            <w:pPr>
              <w:rPr>
                <w:rFonts w:ascii="Calibri" w:hAnsi="Calibri"/>
                <w:lang w:val="sr-Latn-BA" w:eastAsia="sr-Latn-BA"/>
              </w:rPr>
            </w:pPr>
            <w:r w:rsidRPr="00620BD3">
              <w:rPr>
                <w:rFonts w:ascii="Calibri" w:hAnsi="Calibri"/>
                <w:lang w:val="sr-Latn-BA" w:eastAsia="sr-Latn-BA"/>
              </w:rPr>
              <w:t xml:space="preserve">Troškovi </w:t>
            </w:r>
            <w:r>
              <w:rPr>
                <w:rFonts w:ascii="Calibri" w:hAnsi="Calibri"/>
                <w:lang w:val="sr-Latn-BA" w:eastAsia="sr-Latn-BA"/>
              </w:rPr>
              <w:t xml:space="preserve">Komisije za HOV RS </w:t>
            </w:r>
          </w:p>
        </w:tc>
        <w:tc>
          <w:tcPr>
            <w:tcW w:w="1760" w:type="dxa"/>
            <w:tcBorders>
              <w:top w:val="nil"/>
              <w:left w:val="nil"/>
              <w:bottom w:val="nil"/>
              <w:right w:val="nil"/>
            </w:tcBorders>
            <w:shd w:val="clear" w:color="000000" w:fill="FFFFFF"/>
            <w:noWrap/>
            <w:vAlign w:val="bottom"/>
            <w:hideMark/>
          </w:tcPr>
          <w:p w:rsidR="007E1727" w:rsidRPr="00620BD3" w:rsidRDefault="007E1727" w:rsidP="00312409">
            <w:pPr>
              <w:jc w:val="right"/>
              <w:rPr>
                <w:rFonts w:ascii="Calibri" w:hAnsi="Calibri"/>
                <w:color w:val="000000"/>
                <w:lang w:val="sr-Latn-BA" w:eastAsia="sr-Latn-BA"/>
              </w:rPr>
            </w:pPr>
            <w:r w:rsidRPr="00620BD3">
              <w:rPr>
                <w:rFonts w:ascii="Calibri" w:hAnsi="Calibri"/>
                <w:color w:val="000000"/>
                <w:lang w:val="sr-Latn-BA" w:eastAsia="sr-Latn-BA"/>
              </w:rPr>
              <w:t xml:space="preserve">          </w:t>
            </w:r>
            <w:r w:rsidR="00B26721">
              <w:rPr>
                <w:rFonts w:ascii="Calibri" w:hAnsi="Calibri"/>
                <w:color w:val="000000"/>
                <w:lang w:val="sr-Latn-BA" w:eastAsia="sr-Latn-BA"/>
              </w:rPr>
              <w:t xml:space="preserve"> </w:t>
            </w:r>
            <w:r w:rsidR="00312409">
              <w:rPr>
                <w:rFonts w:ascii="Calibri" w:hAnsi="Calibri"/>
                <w:color w:val="000000"/>
                <w:lang w:val="sr-Latn-BA" w:eastAsia="sr-Latn-BA"/>
              </w:rPr>
              <w:t>132</w:t>
            </w:r>
            <w:r w:rsidRPr="00620BD3">
              <w:rPr>
                <w:rFonts w:ascii="Calibri" w:hAnsi="Calibri"/>
                <w:color w:val="000000"/>
                <w:lang w:val="sr-Latn-BA" w:eastAsia="sr-Latn-BA"/>
              </w:rPr>
              <w:t xml:space="preserve">    </w:t>
            </w:r>
          </w:p>
        </w:tc>
        <w:tc>
          <w:tcPr>
            <w:tcW w:w="1209" w:type="dxa"/>
            <w:tcBorders>
              <w:top w:val="nil"/>
              <w:left w:val="nil"/>
              <w:bottom w:val="nil"/>
              <w:right w:val="nil"/>
            </w:tcBorders>
            <w:shd w:val="clear" w:color="000000" w:fill="FFFFFF"/>
            <w:vAlign w:val="center"/>
            <w:hideMark/>
          </w:tcPr>
          <w:p w:rsidR="007E1727" w:rsidRPr="0020093E" w:rsidRDefault="007E4A17" w:rsidP="003016A8">
            <w:pPr>
              <w:jc w:val="right"/>
              <w:rPr>
                <w:rFonts w:ascii="Calibri" w:hAnsi="Calibri"/>
                <w:color w:val="000000"/>
                <w:lang w:val="sr-Latn-BA" w:eastAsia="sr-Latn-BA"/>
              </w:rPr>
            </w:pPr>
            <w:r w:rsidRPr="0020093E">
              <w:rPr>
                <w:rFonts w:ascii="Calibri" w:hAnsi="Calibri"/>
                <w:color w:val="000000"/>
                <w:lang w:val="sr-Latn-BA" w:eastAsia="sr-Latn-BA"/>
              </w:rPr>
              <w:t xml:space="preserve">     </w:t>
            </w:r>
            <w:r w:rsidR="005C2647">
              <w:rPr>
                <w:rFonts w:ascii="Calibri" w:hAnsi="Calibri"/>
                <w:color w:val="000000"/>
                <w:lang w:val="sr-Latn-BA" w:eastAsia="sr-Latn-BA"/>
              </w:rPr>
              <w:t>122</w:t>
            </w:r>
          </w:p>
        </w:tc>
      </w:tr>
      <w:tr w:rsidR="007E1727" w:rsidRPr="00620BD3" w:rsidTr="005C2647">
        <w:trPr>
          <w:trHeight w:val="310"/>
        </w:trPr>
        <w:tc>
          <w:tcPr>
            <w:tcW w:w="5120" w:type="dxa"/>
            <w:tcBorders>
              <w:top w:val="nil"/>
              <w:left w:val="nil"/>
              <w:bottom w:val="nil"/>
              <w:right w:val="nil"/>
            </w:tcBorders>
            <w:shd w:val="clear" w:color="000000" w:fill="FFFFFF"/>
            <w:noWrap/>
            <w:vAlign w:val="bottom"/>
            <w:hideMark/>
          </w:tcPr>
          <w:p w:rsidR="007E1727" w:rsidRPr="00620BD3" w:rsidRDefault="0020093E" w:rsidP="007E1727">
            <w:pPr>
              <w:rPr>
                <w:rFonts w:ascii="Calibri" w:hAnsi="Calibri"/>
                <w:lang w:val="sr-Latn-BA" w:eastAsia="sr-Latn-BA"/>
              </w:rPr>
            </w:pPr>
            <w:r>
              <w:rPr>
                <w:rFonts w:ascii="Calibri" w:hAnsi="Calibri"/>
                <w:lang w:val="sr-Latn-BA" w:eastAsia="sr-Latn-BA"/>
              </w:rPr>
              <w:t xml:space="preserve"> </w:t>
            </w:r>
            <w:r w:rsidR="007E1727" w:rsidRPr="00620BD3">
              <w:rPr>
                <w:rFonts w:ascii="Calibri" w:hAnsi="Calibri"/>
                <w:lang w:val="sr-Latn-BA" w:eastAsia="sr-Latn-BA"/>
              </w:rPr>
              <w:t xml:space="preserve">Troškovi </w:t>
            </w:r>
            <w:r w:rsidR="007E1727">
              <w:rPr>
                <w:rFonts w:ascii="Calibri" w:hAnsi="Calibri"/>
                <w:lang w:val="sr-Latn-BA" w:eastAsia="sr-Latn-BA"/>
              </w:rPr>
              <w:t xml:space="preserve">vođenja registra udjela  </w:t>
            </w:r>
          </w:p>
        </w:tc>
        <w:tc>
          <w:tcPr>
            <w:tcW w:w="1760" w:type="dxa"/>
            <w:tcBorders>
              <w:top w:val="nil"/>
              <w:left w:val="nil"/>
              <w:bottom w:val="nil"/>
              <w:right w:val="nil"/>
            </w:tcBorders>
            <w:shd w:val="clear" w:color="000000" w:fill="FFFFFF"/>
            <w:noWrap/>
            <w:vAlign w:val="bottom"/>
            <w:hideMark/>
          </w:tcPr>
          <w:p w:rsidR="007E1727" w:rsidRPr="00620BD3" w:rsidRDefault="0020093E" w:rsidP="00312409">
            <w:pPr>
              <w:jc w:val="right"/>
              <w:rPr>
                <w:rFonts w:ascii="Calibri" w:hAnsi="Calibri"/>
                <w:color w:val="000000"/>
                <w:lang w:val="sr-Latn-BA" w:eastAsia="sr-Latn-BA"/>
              </w:rPr>
            </w:pPr>
            <w:r>
              <w:rPr>
                <w:rFonts w:ascii="Calibri" w:hAnsi="Calibri"/>
                <w:color w:val="000000"/>
                <w:lang w:val="sr-Latn-BA" w:eastAsia="sr-Latn-BA"/>
              </w:rPr>
              <w:t xml:space="preserve">   </w:t>
            </w:r>
            <w:r w:rsidR="00AF113C">
              <w:rPr>
                <w:rFonts w:ascii="Calibri" w:hAnsi="Calibri"/>
                <w:color w:val="000000"/>
                <w:lang w:val="sr-Latn-BA" w:eastAsia="sr-Latn-BA"/>
              </w:rPr>
              <w:t xml:space="preserve"> </w:t>
            </w:r>
            <w:r w:rsidR="00312409">
              <w:rPr>
                <w:rFonts w:ascii="Calibri" w:hAnsi="Calibri"/>
                <w:color w:val="000000"/>
                <w:lang w:val="sr-Latn-BA" w:eastAsia="sr-Latn-BA"/>
              </w:rPr>
              <w:t>968</w:t>
            </w:r>
          </w:p>
        </w:tc>
        <w:tc>
          <w:tcPr>
            <w:tcW w:w="1209" w:type="dxa"/>
            <w:tcBorders>
              <w:top w:val="nil"/>
              <w:left w:val="nil"/>
              <w:bottom w:val="nil"/>
              <w:right w:val="nil"/>
            </w:tcBorders>
            <w:shd w:val="clear" w:color="000000" w:fill="FFFFFF"/>
            <w:vAlign w:val="center"/>
            <w:hideMark/>
          </w:tcPr>
          <w:p w:rsidR="007E1727" w:rsidRPr="0020093E" w:rsidRDefault="0020093E" w:rsidP="003016A8">
            <w:pPr>
              <w:jc w:val="right"/>
              <w:rPr>
                <w:rFonts w:ascii="Calibri" w:hAnsi="Calibri"/>
                <w:color w:val="000000"/>
                <w:lang w:val="sr-Latn-BA" w:eastAsia="sr-Latn-BA"/>
              </w:rPr>
            </w:pPr>
            <w:r w:rsidRPr="0020093E">
              <w:rPr>
                <w:rFonts w:ascii="Calibri" w:hAnsi="Calibri"/>
                <w:color w:val="000000"/>
                <w:lang w:val="sr-Latn-BA" w:eastAsia="sr-Latn-BA"/>
              </w:rPr>
              <w:t xml:space="preserve">       </w:t>
            </w:r>
            <w:r w:rsidR="005C2647">
              <w:rPr>
                <w:rFonts w:ascii="Calibri" w:hAnsi="Calibri"/>
                <w:color w:val="000000"/>
                <w:lang w:val="sr-Latn-BA" w:eastAsia="sr-Latn-BA"/>
              </w:rPr>
              <w:t>1.570</w:t>
            </w:r>
          </w:p>
        </w:tc>
      </w:tr>
      <w:tr w:rsidR="00F433A9" w:rsidRPr="00620BD3" w:rsidTr="005C2647">
        <w:trPr>
          <w:trHeight w:val="310"/>
        </w:trPr>
        <w:tc>
          <w:tcPr>
            <w:tcW w:w="5120" w:type="dxa"/>
            <w:tcBorders>
              <w:top w:val="nil"/>
              <w:left w:val="nil"/>
              <w:bottom w:val="nil"/>
              <w:right w:val="nil"/>
            </w:tcBorders>
            <w:shd w:val="clear" w:color="000000" w:fill="FFFFFF"/>
            <w:noWrap/>
            <w:vAlign w:val="bottom"/>
            <w:hideMark/>
          </w:tcPr>
          <w:p w:rsidR="00F433A9" w:rsidRPr="00620BD3" w:rsidRDefault="00F433A9" w:rsidP="00F433A9">
            <w:pPr>
              <w:rPr>
                <w:rFonts w:ascii="Calibri" w:hAnsi="Calibri"/>
                <w:lang w:val="sr-Latn-BA" w:eastAsia="sr-Latn-BA"/>
              </w:rPr>
            </w:pPr>
            <w:r w:rsidRPr="00620BD3">
              <w:rPr>
                <w:rFonts w:ascii="Calibri" w:hAnsi="Calibri"/>
                <w:lang w:val="sr-Latn-BA" w:eastAsia="sr-Latn-BA"/>
              </w:rPr>
              <w:t xml:space="preserve">Troškovi </w:t>
            </w:r>
            <w:r>
              <w:rPr>
                <w:rFonts w:ascii="Calibri" w:hAnsi="Calibri"/>
                <w:lang w:val="sr-Latn-BA" w:eastAsia="sr-Latn-BA"/>
              </w:rPr>
              <w:t xml:space="preserve">berze   </w:t>
            </w:r>
          </w:p>
        </w:tc>
        <w:tc>
          <w:tcPr>
            <w:tcW w:w="1760" w:type="dxa"/>
            <w:tcBorders>
              <w:top w:val="nil"/>
              <w:left w:val="nil"/>
              <w:bottom w:val="nil"/>
              <w:right w:val="nil"/>
            </w:tcBorders>
            <w:shd w:val="clear" w:color="000000" w:fill="FFFFFF"/>
            <w:noWrap/>
            <w:vAlign w:val="bottom"/>
            <w:hideMark/>
          </w:tcPr>
          <w:p w:rsidR="00F433A9" w:rsidRPr="00620BD3" w:rsidRDefault="00F433A9" w:rsidP="004D4B92">
            <w:pPr>
              <w:jc w:val="right"/>
              <w:rPr>
                <w:rFonts w:ascii="Calibri" w:hAnsi="Calibri"/>
                <w:color w:val="000000"/>
                <w:lang w:val="sr-Latn-BA" w:eastAsia="sr-Latn-BA"/>
              </w:rPr>
            </w:pPr>
            <w:r>
              <w:rPr>
                <w:rFonts w:ascii="Calibri" w:hAnsi="Calibri"/>
                <w:color w:val="000000"/>
                <w:lang w:val="sr-Latn-BA" w:eastAsia="sr-Latn-BA"/>
              </w:rPr>
              <w:t xml:space="preserve">       </w:t>
            </w:r>
            <w:r w:rsidR="004041BF">
              <w:rPr>
                <w:rFonts w:ascii="Calibri" w:hAnsi="Calibri"/>
                <w:color w:val="000000"/>
                <w:lang w:val="sr-Latn-BA" w:eastAsia="sr-Latn-BA"/>
              </w:rPr>
              <w:t xml:space="preserve">  </w:t>
            </w:r>
            <w:r w:rsidR="004D4B92">
              <w:rPr>
                <w:rFonts w:ascii="Calibri" w:hAnsi="Calibri"/>
                <w:color w:val="000000"/>
                <w:lang w:val="sr-Latn-BA" w:eastAsia="sr-Latn-BA"/>
              </w:rPr>
              <w:t>0</w:t>
            </w:r>
            <w:r w:rsidRPr="00620BD3">
              <w:rPr>
                <w:rFonts w:ascii="Calibri" w:hAnsi="Calibri"/>
                <w:color w:val="000000"/>
                <w:lang w:val="sr-Latn-BA" w:eastAsia="sr-Latn-BA"/>
              </w:rPr>
              <w:t xml:space="preserve">    </w:t>
            </w:r>
          </w:p>
        </w:tc>
        <w:tc>
          <w:tcPr>
            <w:tcW w:w="1209" w:type="dxa"/>
            <w:tcBorders>
              <w:top w:val="nil"/>
              <w:left w:val="nil"/>
              <w:bottom w:val="nil"/>
              <w:right w:val="nil"/>
            </w:tcBorders>
            <w:shd w:val="clear" w:color="000000" w:fill="FFFFFF"/>
            <w:vAlign w:val="center"/>
            <w:hideMark/>
          </w:tcPr>
          <w:p w:rsidR="00F433A9" w:rsidRPr="0020093E" w:rsidRDefault="005C2647" w:rsidP="003016A8">
            <w:pPr>
              <w:jc w:val="right"/>
              <w:rPr>
                <w:rFonts w:ascii="Calibri" w:hAnsi="Calibri"/>
                <w:color w:val="000000"/>
                <w:lang w:val="sr-Latn-BA" w:eastAsia="sr-Latn-BA"/>
              </w:rPr>
            </w:pPr>
            <w:r>
              <w:rPr>
                <w:rFonts w:ascii="Calibri" w:hAnsi="Calibri"/>
                <w:color w:val="000000"/>
                <w:lang w:val="sr-Latn-BA" w:eastAsia="sr-Latn-BA"/>
              </w:rPr>
              <w:t>500</w:t>
            </w:r>
          </w:p>
        </w:tc>
      </w:tr>
      <w:tr w:rsidR="004041BF" w:rsidRPr="00620BD3" w:rsidTr="005C2647">
        <w:trPr>
          <w:trHeight w:val="310"/>
        </w:trPr>
        <w:tc>
          <w:tcPr>
            <w:tcW w:w="5120" w:type="dxa"/>
            <w:tcBorders>
              <w:top w:val="nil"/>
              <w:left w:val="nil"/>
              <w:bottom w:val="nil"/>
              <w:right w:val="nil"/>
            </w:tcBorders>
            <w:shd w:val="clear" w:color="000000" w:fill="FFFFFF"/>
            <w:noWrap/>
            <w:vAlign w:val="bottom"/>
            <w:hideMark/>
          </w:tcPr>
          <w:p w:rsidR="004041BF" w:rsidRPr="00620BD3" w:rsidRDefault="004041BF" w:rsidP="004041BF">
            <w:pPr>
              <w:rPr>
                <w:rFonts w:ascii="Calibri" w:hAnsi="Calibri"/>
                <w:lang w:val="sr-Latn-BA" w:eastAsia="sr-Latn-BA"/>
              </w:rPr>
            </w:pPr>
            <w:r w:rsidRPr="00620BD3">
              <w:rPr>
                <w:rFonts w:ascii="Calibri" w:hAnsi="Calibri"/>
                <w:lang w:val="sr-Latn-BA" w:eastAsia="sr-Latn-BA"/>
              </w:rPr>
              <w:t xml:space="preserve">Troškovi </w:t>
            </w:r>
            <w:r>
              <w:rPr>
                <w:rFonts w:ascii="Calibri" w:hAnsi="Calibri"/>
                <w:lang w:val="sr-Latn-BA" w:eastAsia="sr-Latn-BA"/>
              </w:rPr>
              <w:t xml:space="preserve">eksterne revizije  </w:t>
            </w:r>
          </w:p>
        </w:tc>
        <w:tc>
          <w:tcPr>
            <w:tcW w:w="1760" w:type="dxa"/>
            <w:tcBorders>
              <w:top w:val="nil"/>
              <w:left w:val="nil"/>
              <w:bottom w:val="nil"/>
              <w:right w:val="nil"/>
            </w:tcBorders>
            <w:shd w:val="clear" w:color="000000" w:fill="FFFFFF"/>
            <w:noWrap/>
            <w:vAlign w:val="bottom"/>
            <w:hideMark/>
          </w:tcPr>
          <w:p w:rsidR="004041BF" w:rsidRPr="00620BD3" w:rsidRDefault="004041BF" w:rsidP="00333524">
            <w:pPr>
              <w:jc w:val="right"/>
              <w:rPr>
                <w:rFonts w:ascii="Calibri" w:hAnsi="Calibri"/>
                <w:color w:val="000000"/>
                <w:lang w:val="sr-Latn-BA" w:eastAsia="sr-Latn-BA"/>
              </w:rPr>
            </w:pPr>
            <w:r>
              <w:rPr>
                <w:rFonts w:ascii="Calibri" w:hAnsi="Calibri"/>
                <w:color w:val="000000"/>
                <w:lang w:val="sr-Latn-BA" w:eastAsia="sr-Latn-BA"/>
              </w:rPr>
              <w:t xml:space="preserve">       1.</w:t>
            </w:r>
            <w:r w:rsidR="00333524">
              <w:rPr>
                <w:rFonts w:ascii="Calibri" w:hAnsi="Calibri"/>
                <w:color w:val="000000"/>
                <w:lang w:val="sr-Latn-BA" w:eastAsia="sr-Latn-BA"/>
              </w:rPr>
              <w:t>755</w:t>
            </w:r>
            <w:r w:rsidRPr="00620BD3">
              <w:rPr>
                <w:rFonts w:ascii="Calibri" w:hAnsi="Calibri"/>
                <w:color w:val="000000"/>
                <w:lang w:val="sr-Latn-BA" w:eastAsia="sr-Latn-BA"/>
              </w:rPr>
              <w:t xml:space="preserve">    </w:t>
            </w:r>
          </w:p>
        </w:tc>
        <w:tc>
          <w:tcPr>
            <w:tcW w:w="1209" w:type="dxa"/>
            <w:tcBorders>
              <w:top w:val="nil"/>
              <w:left w:val="nil"/>
              <w:bottom w:val="nil"/>
              <w:right w:val="nil"/>
            </w:tcBorders>
            <w:shd w:val="clear" w:color="000000" w:fill="FFFFFF"/>
            <w:vAlign w:val="center"/>
            <w:hideMark/>
          </w:tcPr>
          <w:p w:rsidR="004041BF" w:rsidRPr="0020093E" w:rsidRDefault="005C2647" w:rsidP="005C2647">
            <w:pPr>
              <w:jc w:val="right"/>
              <w:rPr>
                <w:rFonts w:ascii="Calibri" w:hAnsi="Calibri"/>
                <w:color w:val="000000"/>
                <w:lang w:val="sr-Latn-BA" w:eastAsia="sr-Latn-BA"/>
              </w:rPr>
            </w:pPr>
            <w:r>
              <w:rPr>
                <w:rFonts w:ascii="Calibri" w:hAnsi="Calibri"/>
                <w:color w:val="000000"/>
                <w:lang w:val="sr-Latn-BA" w:eastAsia="sr-Latn-BA"/>
              </w:rPr>
              <w:t>1.755</w:t>
            </w:r>
            <w:r w:rsidR="004041BF" w:rsidRPr="0020093E">
              <w:rPr>
                <w:rFonts w:ascii="Calibri" w:hAnsi="Calibri"/>
                <w:color w:val="000000"/>
                <w:lang w:val="sr-Latn-BA" w:eastAsia="sr-Latn-BA"/>
              </w:rPr>
              <w:t> </w:t>
            </w:r>
          </w:p>
        </w:tc>
      </w:tr>
      <w:tr w:rsidR="005B73DF" w:rsidRPr="00620BD3" w:rsidTr="005C2647">
        <w:trPr>
          <w:trHeight w:val="310"/>
        </w:trPr>
        <w:tc>
          <w:tcPr>
            <w:tcW w:w="5120" w:type="dxa"/>
            <w:tcBorders>
              <w:top w:val="nil"/>
              <w:left w:val="nil"/>
              <w:bottom w:val="nil"/>
              <w:right w:val="nil"/>
            </w:tcBorders>
            <w:shd w:val="clear" w:color="000000" w:fill="FFFFFF"/>
            <w:noWrap/>
            <w:vAlign w:val="bottom"/>
          </w:tcPr>
          <w:p w:rsidR="005B73DF" w:rsidRPr="00620BD3" w:rsidRDefault="005B73DF" w:rsidP="004041BF">
            <w:pPr>
              <w:rPr>
                <w:rFonts w:ascii="Calibri" w:hAnsi="Calibri"/>
                <w:lang w:val="sr-Latn-BA" w:eastAsia="sr-Latn-BA"/>
              </w:rPr>
            </w:pPr>
            <w:r>
              <w:rPr>
                <w:rFonts w:ascii="Calibri" w:hAnsi="Calibri"/>
                <w:lang w:val="sr-Latn-BA" w:eastAsia="sr-Latn-BA"/>
              </w:rPr>
              <w:t>Ostali troškovi – sudski sporovi</w:t>
            </w:r>
          </w:p>
        </w:tc>
        <w:tc>
          <w:tcPr>
            <w:tcW w:w="1760" w:type="dxa"/>
            <w:tcBorders>
              <w:top w:val="nil"/>
              <w:left w:val="nil"/>
              <w:bottom w:val="nil"/>
              <w:right w:val="nil"/>
            </w:tcBorders>
            <w:shd w:val="clear" w:color="000000" w:fill="FFFFFF"/>
            <w:noWrap/>
            <w:vAlign w:val="bottom"/>
          </w:tcPr>
          <w:p w:rsidR="005B73DF" w:rsidRDefault="005B73DF" w:rsidP="00333524">
            <w:pPr>
              <w:jc w:val="right"/>
              <w:rPr>
                <w:rFonts w:ascii="Calibri" w:hAnsi="Calibri"/>
                <w:color w:val="000000"/>
                <w:lang w:val="sr-Latn-BA" w:eastAsia="sr-Latn-BA"/>
              </w:rPr>
            </w:pPr>
            <w:r>
              <w:rPr>
                <w:rFonts w:ascii="Calibri" w:hAnsi="Calibri"/>
                <w:color w:val="000000"/>
                <w:lang w:val="sr-Latn-BA" w:eastAsia="sr-Latn-BA"/>
              </w:rPr>
              <w:t>590</w:t>
            </w:r>
          </w:p>
        </w:tc>
        <w:tc>
          <w:tcPr>
            <w:tcW w:w="1209" w:type="dxa"/>
            <w:tcBorders>
              <w:top w:val="nil"/>
              <w:left w:val="nil"/>
              <w:bottom w:val="nil"/>
              <w:right w:val="nil"/>
            </w:tcBorders>
            <w:shd w:val="clear" w:color="000000" w:fill="FFFFFF"/>
            <w:vAlign w:val="center"/>
          </w:tcPr>
          <w:p w:rsidR="005B73DF" w:rsidRPr="0020093E" w:rsidRDefault="005B73DF" w:rsidP="003016A8">
            <w:pPr>
              <w:jc w:val="right"/>
              <w:rPr>
                <w:rFonts w:ascii="Calibri" w:hAnsi="Calibri"/>
                <w:color w:val="000000"/>
                <w:lang w:val="sr-Latn-BA" w:eastAsia="sr-Latn-BA"/>
              </w:rPr>
            </w:pPr>
          </w:p>
        </w:tc>
      </w:tr>
      <w:tr w:rsidR="00620BD3" w:rsidRPr="00620BD3" w:rsidTr="005C2647">
        <w:trPr>
          <w:trHeight w:val="37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lang w:val="sr-Latn-BA" w:eastAsia="sr-Latn-BA"/>
              </w:rPr>
            </w:pPr>
            <w:r w:rsidRPr="00620BD3">
              <w:rPr>
                <w:rFonts w:ascii="Calibri" w:hAnsi="Calibri"/>
                <w:b/>
                <w:bCs/>
                <w:lang w:val="sr-Latn-BA" w:eastAsia="sr-Latn-BA"/>
              </w:rPr>
              <w:t>Za godinu koja se završi</w:t>
            </w:r>
            <w:r w:rsidR="005B73DF">
              <w:rPr>
                <w:rFonts w:ascii="Calibri" w:hAnsi="Calibri"/>
                <w:b/>
                <w:bCs/>
                <w:lang w:val="sr-Latn-BA" w:eastAsia="sr-Latn-BA"/>
              </w:rPr>
              <w:t>la 30.06</w:t>
            </w:r>
            <w:r w:rsidR="004D4B92">
              <w:rPr>
                <w:rFonts w:ascii="Calibri" w:hAnsi="Calibri"/>
                <w:b/>
                <w:bCs/>
                <w:lang w:val="sr-Latn-BA" w:eastAsia="sr-Latn-BA"/>
              </w:rPr>
              <w:t>.2021</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620BD3" w:rsidRPr="004041BF" w:rsidRDefault="005B73DF" w:rsidP="004041BF">
            <w:pPr>
              <w:jc w:val="right"/>
              <w:rPr>
                <w:rFonts w:ascii="Calibri" w:hAnsi="Calibri"/>
                <w:b/>
                <w:color w:val="000000"/>
                <w:u w:val="single"/>
                <w:lang w:val="sr-Latn-BA" w:eastAsia="sr-Latn-BA"/>
              </w:rPr>
            </w:pPr>
            <w:r>
              <w:rPr>
                <w:rFonts w:ascii="Calibri" w:hAnsi="Calibri"/>
                <w:b/>
                <w:color w:val="000000"/>
                <w:u w:val="single"/>
                <w:lang w:val="sr-Latn-BA" w:eastAsia="sr-Latn-BA"/>
              </w:rPr>
              <w:t>3.645</w:t>
            </w:r>
            <w:r w:rsidR="00620BD3" w:rsidRPr="004041BF">
              <w:rPr>
                <w:rFonts w:ascii="Calibri" w:hAnsi="Calibri"/>
                <w:b/>
                <w:color w:val="000000"/>
                <w:u w:val="single"/>
                <w:lang w:val="sr-Latn-BA" w:eastAsia="sr-Latn-BA"/>
              </w:rPr>
              <w:t xml:space="preserve">    </w:t>
            </w:r>
          </w:p>
        </w:tc>
        <w:tc>
          <w:tcPr>
            <w:tcW w:w="1209" w:type="dxa"/>
            <w:tcBorders>
              <w:top w:val="nil"/>
              <w:left w:val="nil"/>
              <w:bottom w:val="nil"/>
              <w:right w:val="nil"/>
            </w:tcBorders>
            <w:shd w:val="clear" w:color="000000" w:fill="FFFFFF"/>
            <w:noWrap/>
            <w:vAlign w:val="bottom"/>
            <w:hideMark/>
          </w:tcPr>
          <w:p w:rsidR="00620BD3" w:rsidRPr="0020093E" w:rsidRDefault="005C2647" w:rsidP="005C2647">
            <w:pPr>
              <w:jc w:val="right"/>
              <w:rPr>
                <w:rFonts w:ascii="Calibri" w:hAnsi="Calibri"/>
                <w:color w:val="000000"/>
                <w:u w:val="single"/>
                <w:lang w:val="sr-Latn-BA" w:eastAsia="sr-Latn-BA"/>
              </w:rPr>
            </w:pPr>
            <w:r>
              <w:rPr>
                <w:rFonts w:ascii="Calibri" w:hAnsi="Calibri"/>
                <w:b/>
                <w:color w:val="000000"/>
                <w:u w:val="single"/>
                <w:lang w:val="sr-Latn-BA" w:eastAsia="sr-Latn-BA"/>
              </w:rPr>
              <w:t>4.080</w:t>
            </w:r>
            <w:r w:rsidR="00333524" w:rsidRPr="0020093E">
              <w:rPr>
                <w:rFonts w:ascii="Calibri" w:hAnsi="Calibri"/>
                <w:b/>
                <w:color w:val="000000"/>
                <w:u w:val="single"/>
                <w:lang w:val="sr-Latn-BA" w:eastAsia="sr-Latn-BA"/>
              </w:rPr>
              <w:t xml:space="preserve"> </w:t>
            </w:r>
          </w:p>
        </w:tc>
      </w:tr>
    </w:tbl>
    <w:p w:rsidR="0082756B" w:rsidRDefault="0082756B" w:rsidP="0082756B">
      <w:pPr>
        <w:rPr>
          <w:lang w:val="sr-Latn-CS"/>
        </w:rPr>
      </w:pPr>
    </w:p>
    <w:p w:rsidR="0082756B" w:rsidRPr="00A47E7E" w:rsidRDefault="0082756B" w:rsidP="00A9646E">
      <w:pPr>
        <w:pStyle w:val="ListParagraph"/>
        <w:tabs>
          <w:tab w:val="left" w:pos="-1440"/>
          <w:tab w:val="left" w:pos="-720"/>
        </w:tabs>
        <w:ind w:left="0"/>
        <w:rPr>
          <w:rFonts w:ascii="Calibri" w:hAnsi="Calibri" w:cs="Calibri"/>
          <w:noProof/>
          <w:sz w:val="20"/>
          <w:lang w:val="sr-Latn-CS"/>
        </w:rPr>
      </w:pPr>
    </w:p>
    <w:p w:rsidR="00A9646E" w:rsidRPr="00A47E7E" w:rsidRDefault="00A9646E"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2" w:name="_Toc64534450"/>
      <w:r w:rsidRPr="00A47E7E">
        <w:rPr>
          <w:rFonts w:ascii="Calibri" w:hAnsi="Calibri" w:cs="Calibri"/>
          <w:noProof/>
          <w:sz w:val="24"/>
          <w:szCs w:val="24"/>
        </w:rPr>
        <w:t>POREZ NA DOBITAK</w:t>
      </w:r>
      <w:bookmarkEnd w:id="22"/>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D14AE6" w:rsidRPr="00A47E7E" w:rsidRDefault="00D14AE6" w:rsidP="00952D10">
      <w:pPr>
        <w:pStyle w:val="ListParagraph"/>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3" w:name="_Toc64534451"/>
      <w:r w:rsidRPr="00A47E7E">
        <w:rPr>
          <w:rFonts w:ascii="Calibri" w:hAnsi="Calibri" w:cs="Calibri"/>
          <w:noProof/>
          <w:sz w:val="24"/>
          <w:szCs w:val="24"/>
        </w:rPr>
        <w:t>GOTOVINA</w:t>
      </w:r>
      <w:bookmarkEnd w:id="23"/>
    </w:p>
    <w:tbl>
      <w:tblPr>
        <w:tblW w:w="9660" w:type="dxa"/>
        <w:tblInd w:w="99" w:type="dxa"/>
        <w:tblLook w:val="04A0" w:firstRow="1" w:lastRow="0" w:firstColumn="1" w:lastColumn="0" w:noHBand="0" w:noVBand="1"/>
      </w:tblPr>
      <w:tblGrid>
        <w:gridCol w:w="5580"/>
        <w:gridCol w:w="2040"/>
        <w:gridCol w:w="2040"/>
      </w:tblGrid>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5C6D82">
              <w:rPr>
                <w:rFonts w:ascii="Calibri" w:hAnsi="Calibri"/>
                <w:b/>
                <w:bCs/>
                <w:color w:val="000000"/>
                <w:lang w:val="sr-Latn-BA" w:eastAsia="sr-Latn-BA"/>
              </w:rPr>
              <w:t>2</w:t>
            </w:r>
            <w:r w:rsidR="004D4B92">
              <w:rPr>
                <w:rFonts w:ascii="Calibri" w:hAnsi="Calibri"/>
                <w:b/>
                <w:bCs/>
                <w:color w:val="000000"/>
                <w:lang w:val="sr-Latn-BA" w:eastAsia="sr-Latn-BA"/>
              </w:rPr>
              <w:t>1</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4D4B92">
              <w:rPr>
                <w:rFonts w:ascii="Calibri" w:hAnsi="Calibri"/>
                <w:b/>
                <w:bCs/>
                <w:color w:val="000000"/>
                <w:lang w:val="sr-Latn-BA" w:eastAsia="sr-Latn-BA"/>
              </w:rPr>
              <w:t>20</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8020B2" w:rsidRPr="008020B2" w:rsidRDefault="000C3FA0" w:rsidP="00E10829">
            <w:pPr>
              <w:jc w:val="right"/>
              <w:rPr>
                <w:rFonts w:ascii="Calibri" w:hAnsi="Calibri"/>
                <w:color w:val="000000"/>
                <w:lang w:val="sr-Latn-BA" w:eastAsia="sr-Latn-BA"/>
              </w:rPr>
            </w:pPr>
            <w:r>
              <w:rPr>
                <w:rFonts w:ascii="Calibri" w:hAnsi="Calibri"/>
                <w:color w:val="000000"/>
                <w:lang w:val="sr-Latn-BA" w:eastAsia="sr-Latn-BA"/>
              </w:rPr>
              <w:t xml:space="preserve">             </w:t>
            </w:r>
            <w:r w:rsidR="00E10829">
              <w:rPr>
                <w:rFonts w:ascii="Calibri" w:hAnsi="Calibri"/>
                <w:color w:val="000000"/>
                <w:lang w:val="sr-Latn-BA" w:eastAsia="sr-Latn-BA"/>
              </w:rPr>
              <w:t>602.308</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A16C59">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A16C59">
              <w:rPr>
                <w:rFonts w:ascii="Calibri" w:hAnsi="Calibri"/>
                <w:color w:val="000000"/>
                <w:lang w:val="sr-Latn-BA" w:eastAsia="sr-Latn-BA"/>
              </w:rPr>
              <w:t>101.433</w:t>
            </w:r>
            <w:r w:rsidR="005C6D82" w:rsidRPr="008020B2">
              <w:rPr>
                <w:rFonts w:ascii="Calibri" w:hAnsi="Calibri"/>
                <w:color w:val="000000"/>
                <w:lang w:val="sr-Latn-BA" w:eastAsia="sr-Latn-BA"/>
              </w:rPr>
              <w:t xml:space="preserve">    </w:t>
            </w:r>
            <w:r w:rsidRPr="008020B2">
              <w:rPr>
                <w:rFonts w:ascii="Calibri" w:hAnsi="Calibri"/>
                <w:color w:val="000000"/>
                <w:lang w:val="sr-Latn-BA" w:eastAsia="sr-Latn-BA"/>
              </w:rPr>
              <w:t xml:space="preserve">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8020B2">
        <w:trPr>
          <w:trHeight w:val="37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E10829">
              <w:rPr>
                <w:rFonts w:ascii="Calibri" w:hAnsi="Calibri"/>
                <w:b/>
                <w:bCs/>
                <w:lang w:val="sr-Latn-BA" w:eastAsia="sr-Latn-BA"/>
              </w:rPr>
              <w:t>vršila 30.06</w:t>
            </w:r>
            <w:r w:rsidR="004326A2">
              <w:rPr>
                <w:rFonts w:ascii="Calibri" w:hAnsi="Calibri"/>
                <w:b/>
                <w:bCs/>
                <w:lang w:val="sr-Latn-BA" w:eastAsia="sr-Latn-BA"/>
              </w:rPr>
              <w:t>.2021</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8020B2" w:rsidRPr="008020B2" w:rsidRDefault="00E10829" w:rsidP="004326A2">
            <w:pPr>
              <w:jc w:val="right"/>
              <w:rPr>
                <w:rFonts w:ascii="Calibri" w:hAnsi="Calibri"/>
                <w:b/>
                <w:bCs/>
                <w:color w:val="000000"/>
                <w:u w:val="single"/>
                <w:lang w:val="sr-Latn-BA" w:eastAsia="sr-Latn-BA"/>
              </w:rPr>
            </w:pPr>
            <w:r>
              <w:rPr>
                <w:rFonts w:ascii="Calibri" w:hAnsi="Calibri"/>
                <w:b/>
                <w:bCs/>
                <w:color w:val="000000"/>
                <w:u w:val="single"/>
                <w:lang w:val="sr-Latn-BA" w:eastAsia="sr-Latn-BA"/>
              </w:rPr>
              <w:t>602.308</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A16C59" w:rsidP="005C6D82">
            <w:pPr>
              <w:jc w:val="right"/>
              <w:rPr>
                <w:rFonts w:ascii="Calibri" w:hAnsi="Calibri"/>
                <w:b/>
                <w:bCs/>
                <w:color w:val="000000"/>
                <w:u w:val="single"/>
                <w:lang w:val="sr-Latn-BA" w:eastAsia="sr-Latn-BA"/>
              </w:rPr>
            </w:pPr>
            <w:r>
              <w:rPr>
                <w:rFonts w:ascii="Calibri" w:hAnsi="Calibri"/>
                <w:b/>
                <w:bCs/>
                <w:color w:val="000000"/>
                <w:u w:val="single"/>
                <w:lang w:val="sr-Latn-BA" w:eastAsia="sr-Latn-BA"/>
              </w:rPr>
              <w:t>101.433</w:t>
            </w:r>
            <w:r w:rsidR="005C6D82" w:rsidRPr="008020B2">
              <w:rPr>
                <w:rFonts w:ascii="Calibri" w:hAnsi="Calibri"/>
                <w:b/>
                <w:bCs/>
                <w:color w:val="000000"/>
                <w:u w:val="single"/>
                <w:lang w:val="sr-Latn-BA" w:eastAsia="sr-Latn-BA"/>
              </w:rPr>
              <w:t xml:space="preserve">    </w:t>
            </w:r>
          </w:p>
        </w:tc>
      </w:tr>
      <w:tr w:rsidR="008020B2" w:rsidRPr="008020B2" w:rsidTr="008020B2">
        <w:trPr>
          <w:trHeight w:val="310"/>
        </w:trPr>
        <w:tc>
          <w:tcPr>
            <w:tcW w:w="558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r>
    </w:tbl>
    <w:p w:rsidR="00952D10" w:rsidRPr="00A47E7E" w:rsidRDefault="00952D10" w:rsidP="00EF35D6">
      <w:pPr>
        <w:tabs>
          <w:tab w:val="left" w:pos="-1440"/>
          <w:tab w:val="left" w:pos="-720"/>
          <w:tab w:val="left" w:pos="889"/>
          <w:tab w:val="left" w:pos="1231"/>
          <w:tab w:val="right" w:pos="8960"/>
        </w:tabs>
        <w:rPr>
          <w:rFonts w:ascii="Calibri" w:hAnsi="Calibri" w:cs="Calibri"/>
          <w:b/>
          <w:noProof/>
        </w:rPr>
      </w:pPr>
    </w:p>
    <w:p w:rsidR="007C048A" w:rsidRPr="00FC7355" w:rsidRDefault="00FC7355" w:rsidP="007C048A">
      <w:pPr>
        <w:pStyle w:val="Heading1"/>
        <w:rPr>
          <w:rFonts w:ascii="Calibri" w:hAnsi="Calibri" w:cs="Calibri"/>
          <w:noProof/>
          <w:sz w:val="24"/>
          <w:szCs w:val="24"/>
        </w:rPr>
      </w:pPr>
      <w:bookmarkStart w:id="24" w:name="_Toc64534452"/>
      <w:r>
        <w:rPr>
          <w:rFonts w:ascii="Calibri" w:hAnsi="Calibri" w:cs="Calibri"/>
          <w:noProof/>
          <w:sz w:val="24"/>
          <w:szCs w:val="24"/>
        </w:rPr>
        <w:t>ULAGANJA FONDA U FINANSIJSKA SREDSTVA</w:t>
      </w:r>
      <w:bookmarkEnd w:id="24"/>
      <w:r>
        <w:rPr>
          <w:rFonts w:ascii="Calibri" w:hAnsi="Calibri" w:cs="Calibri"/>
          <w:noProof/>
          <w:sz w:val="24"/>
          <w:szCs w:val="24"/>
        </w:rPr>
        <w:t xml:space="preserve"> </w:t>
      </w:r>
    </w:p>
    <w:p w:rsidR="00FC7355" w:rsidRPr="007C048A" w:rsidRDefault="00FC7355" w:rsidP="007C048A"/>
    <w:tbl>
      <w:tblPr>
        <w:tblW w:w="8262" w:type="dxa"/>
        <w:tblInd w:w="93" w:type="dxa"/>
        <w:tblLook w:val="04A0" w:firstRow="1" w:lastRow="0" w:firstColumn="1" w:lastColumn="0" w:noHBand="0" w:noVBand="1"/>
      </w:tblPr>
      <w:tblGrid>
        <w:gridCol w:w="3559"/>
        <w:gridCol w:w="2807"/>
        <w:gridCol w:w="1896"/>
      </w:tblGrid>
      <w:tr w:rsidR="00345DA0" w:rsidRPr="00C87210" w:rsidTr="00345DA0">
        <w:trPr>
          <w:trHeight w:val="313"/>
        </w:trPr>
        <w:tc>
          <w:tcPr>
            <w:tcW w:w="3559"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lang w:val="de-AT"/>
              </w:rPr>
            </w:pPr>
            <w:r w:rsidRPr="00C87210">
              <w:rPr>
                <w:rFonts w:ascii="Calibri" w:hAnsi="Calibri" w:cs="Calibri"/>
                <w:lang w:val="de-AT"/>
              </w:rPr>
              <w:t> </w:t>
            </w:r>
          </w:p>
        </w:tc>
        <w:tc>
          <w:tcPr>
            <w:tcW w:w="2807" w:type="dxa"/>
            <w:tcBorders>
              <w:top w:val="nil"/>
              <w:left w:val="nil"/>
              <w:bottom w:val="nil"/>
              <w:right w:val="nil"/>
            </w:tcBorders>
            <w:shd w:val="clear" w:color="000000" w:fill="FFFFFF"/>
            <w:noWrap/>
            <w:vAlign w:val="bottom"/>
            <w:hideMark/>
          </w:tcPr>
          <w:p w:rsidR="00345DA0" w:rsidRPr="00C87210" w:rsidRDefault="00345DA0" w:rsidP="002D1B63">
            <w:pPr>
              <w:jc w:val="center"/>
              <w:rPr>
                <w:rFonts w:ascii="Calibri" w:hAnsi="Calibri" w:cs="Calibri"/>
                <w:b/>
                <w:bCs/>
                <w:highlight w:val="yellow"/>
              </w:rPr>
            </w:pPr>
            <w:r w:rsidRPr="00C87210">
              <w:rPr>
                <w:rFonts w:ascii="Calibri" w:hAnsi="Calibri" w:cs="Calibri"/>
                <w:b/>
                <w:bCs/>
              </w:rPr>
              <w:t>2021</w:t>
            </w:r>
          </w:p>
        </w:tc>
        <w:tc>
          <w:tcPr>
            <w:tcW w:w="1896" w:type="dxa"/>
            <w:tcBorders>
              <w:top w:val="nil"/>
              <w:left w:val="nil"/>
              <w:bottom w:val="nil"/>
              <w:right w:val="nil"/>
            </w:tcBorders>
            <w:shd w:val="clear" w:color="000000" w:fill="FFFFFF"/>
            <w:noWrap/>
            <w:vAlign w:val="bottom"/>
            <w:hideMark/>
          </w:tcPr>
          <w:p w:rsidR="00345DA0" w:rsidRPr="00C87210" w:rsidRDefault="00345DA0" w:rsidP="002D1B63">
            <w:pPr>
              <w:jc w:val="center"/>
              <w:rPr>
                <w:rFonts w:ascii="Calibri" w:hAnsi="Calibri" w:cs="Calibri"/>
                <w:b/>
                <w:bCs/>
                <w:highlight w:val="yellow"/>
              </w:rPr>
            </w:pPr>
            <w:r w:rsidRPr="00C87210">
              <w:rPr>
                <w:rFonts w:ascii="Calibri" w:hAnsi="Calibri" w:cs="Calibri"/>
                <w:b/>
                <w:bCs/>
              </w:rPr>
              <w:t>2020</w:t>
            </w:r>
          </w:p>
        </w:tc>
      </w:tr>
      <w:tr w:rsidR="00345DA0" w:rsidRPr="00C87210" w:rsidTr="00345DA0">
        <w:trPr>
          <w:trHeight w:val="376"/>
        </w:trPr>
        <w:tc>
          <w:tcPr>
            <w:tcW w:w="3559"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proofErr w:type="spellStart"/>
            <w:r w:rsidRPr="00C87210">
              <w:rPr>
                <w:rFonts w:ascii="Calibri" w:hAnsi="Calibri" w:cs="Calibri"/>
              </w:rPr>
              <w:t>Ulaganja</w:t>
            </w:r>
            <w:proofErr w:type="spellEnd"/>
            <w:r w:rsidRPr="00C87210">
              <w:rPr>
                <w:rFonts w:ascii="Calibri" w:hAnsi="Calibri" w:cs="Calibri"/>
              </w:rPr>
              <w:t xml:space="preserve"> u HOV </w:t>
            </w:r>
            <w:proofErr w:type="spellStart"/>
            <w:r w:rsidRPr="00C87210">
              <w:rPr>
                <w:rFonts w:ascii="Calibri" w:hAnsi="Calibri" w:cs="Calibri"/>
              </w:rPr>
              <w:t>raspoložive</w:t>
            </w:r>
            <w:proofErr w:type="spellEnd"/>
            <w:r w:rsidRPr="00C87210">
              <w:rPr>
                <w:rFonts w:ascii="Calibri" w:hAnsi="Calibri" w:cs="Calibri"/>
              </w:rPr>
              <w:t xml:space="preserve"> </w:t>
            </w:r>
            <w:proofErr w:type="spellStart"/>
            <w:r w:rsidRPr="00C87210">
              <w:rPr>
                <w:rFonts w:ascii="Calibri" w:hAnsi="Calibri" w:cs="Calibri"/>
              </w:rPr>
              <w:t>za</w:t>
            </w:r>
            <w:proofErr w:type="spellEnd"/>
            <w:r w:rsidRPr="00C87210">
              <w:rPr>
                <w:rFonts w:ascii="Calibri" w:hAnsi="Calibri" w:cs="Calibri"/>
              </w:rPr>
              <w:t xml:space="preserve"> </w:t>
            </w:r>
            <w:proofErr w:type="spellStart"/>
            <w:r w:rsidRPr="00C87210">
              <w:rPr>
                <w:rFonts w:ascii="Calibri" w:hAnsi="Calibri" w:cs="Calibri"/>
              </w:rPr>
              <w:t>prodaju</w:t>
            </w:r>
            <w:proofErr w:type="spellEnd"/>
          </w:p>
        </w:tc>
        <w:tc>
          <w:tcPr>
            <w:tcW w:w="2807" w:type="dxa"/>
            <w:tcBorders>
              <w:top w:val="nil"/>
              <w:left w:val="nil"/>
              <w:bottom w:val="nil"/>
              <w:right w:val="nil"/>
            </w:tcBorders>
            <w:shd w:val="clear" w:color="000000" w:fill="FFFFFF"/>
            <w:noWrap/>
            <w:vAlign w:val="bottom"/>
            <w:hideMark/>
          </w:tcPr>
          <w:p w:rsidR="00345DA0" w:rsidRPr="00C87210" w:rsidRDefault="00345DA0" w:rsidP="00221CFC">
            <w:pPr>
              <w:jc w:val="right"/>
              <w:rPr>
                <w:rFonts w:ascii="Calibri" w:hAnsi="Calibri" w:cs="Calibri"/>
              </w:rPr>
            </w:pPr>
            <w:r w:rsidRPr="00C87210">
              <w:rPr>
                <w:rFonts w:ascii="Calibri" w:hAnsi="Calibri" w:cs="Calibri"/>
              </w:rPr>
              <w:t xml:space="preserve">                                       </w:t>
            </w:r>
            <w:r w:rsidR="00221CFC">
              <w:rPr>
                <w:rFonts w:ascii="Calibri" w:hAnsi="Calibri" w:cs="Calibri"/>
              </w:rPr>
              <w:t>217.924</w:t>
            </w:r>
            <w:r w:rsidRPr="00C87210">
              <w:rPr>
                <w:rFonts w:ascii="Calibri" w:hAnsi="Calibri" w:cs="Calibri"/>
              </w:rPr>
              <w:t xml:space="preserve">     </w:t>
            </w:r>
          </w:p>
        </w:tc>
        <w:tc>
          <w:tcPr>
            <w:tcW w:w="1896" w:type="dxa"/>
            <w:tcBorders>
              <w:top w:val="nil"/>
              <w:left w:val="nil"/>
              <w:bottom w:val="nil"/>
              <w:right w:val="nil"/>
            </w:tcBorders>
            <w:shd w:val="clear" w:color="000000" w:fill="FFFFFF"/>
            <w:noWrap/>
            <w:vAlign w:val="bottom"/>
            <w:hideMark/>
          </w:tcPr>
          <w:p w:rsidR="00345DA0" w:rsidRPr="00C87210" w:rsidRDefault="00A16C59" w:rsidP="00B71FDC">
            <w:pPr>
              <w:jc w:val="right"/>
              <w:rPr>
                <w:rFonts w:ascii="Calibri" w:hAnsi="Calibri" w:cs="Calibri"/>
              </w:rPr>
            </w:pPr>
            <w:r>
              <w:rPr>
                <w:rFonts w:ascii="Calibri" w:hAnsi="Calibri" w:cs="Calibri"/>
              </w:rPr>
              <w:t>582.684</w:t>
            </w:r>
            <w:r w:rsidR="00345DA0" w:rsidRPr="00C87210">
              <w:rPr>
                <w:rFonts w:ascii="Calibri" w:hAnsi="Calibri" w:cs="Calibri"/>
              </w:rPr>
              <w:t xml:space="preserve">                    </w:t>
            </w:r>
          </w:p>
        </w:tc>
      </w:tr>
      <w:tr w:rsidR="00345DA0" w:rsidRPr="00C87210" w:rsidTr="00345DA0">
        <w:trPr>
          <w:trHeight w:val="376"/>
        </w:trPr>
        <w:tc>
          <w:tcPr>
            <w:tcW w:w="3559"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proofErr w:type="spellStart"/>
            <w:r w:rsidRPr="00C87210">
              <w:rPr>
                <w:rFonts w:ascii="Calibri" w:hAnsi="Calibri" w:cs="Calibri"/>
              </w:rPr>
              <w:t>Ispravka</w:t>
            </w:r>
            <w:proofErr w:type="spellEnd"/>
            <w:r w:rsidRPr="00C87210">
              <w:rPr>
                <w:rFonts w:ascii="Calibri" w:hAnsi="Calibri" w:cs="Calibri"/>
              </w:rPr>
              <w:t xml:space="preserve"> </w:t>
            </w:r>
            <w:proofErr w:type="spellStart"/>
            <w:r w:rsidRPr="00C87210">
              <w:rPr>
                <w:rFonts w:ascii="Calibri" w:hAnsi="Calibri" w:cs="Calibri"/>
              </w:rPr>
              <w:t>vrijednosti</w:t>
            </w:r>
            <w:proofErr w:type="spellEnd"/>
            <w:r w:rsidRPr="00C87210">
              <w:rPr>
                <w:rFonts w:ascii="Calibri" w:hAnsi="Calibri" w:cs="Calibri"/>
              </w:rPr>
              <w:t xml:space="preserve"> </w:t>
            </w:r>
            <w:proofErr w:type="spellStart"/>
            <w:r w:rsidRPr="00C87210">
              <w:rPr>
                <w:rFonts w:ascii="Calibri" w:hAnsi="Calibri" w:cs="Calibri"/>
              </w:rPr>
              <w:t>ulaganja</w:t>
            </w:r>
            <w:proofErr w:type="spellEnd"/>
            <w:r w:rsidRPr="00C87210">
              <w:rPr>
                <w:rFonts w:ascii="Calibri" w:hAnsi="Calibri" w:cs="Calibri"/>
              </w:rPr>
              <w:t xml:space="preserve"> u HOV </w:t>
            </w:r>
            <w:proofErr w:type="spellStart"/>
            <w:r w:rsidRPr="00C87210">
              <w:rPr>
                <w:rFonts w:ascii="Calibri" w:hAnsi="Calibri" w:cs="Calibri"/>
              </w:rPr>
              <w:t>raspoložive</w:t>
            </w:r>
            <w:proofErr w:type="spellEnd"/>
            <w:r w:rsidRPr="00C87210">
              <w:rPr>
                <w:rFonts w:ascii="Calibri" w:hAnsi="Calibri" w:cs="Calibri"/>
              </w:rPr>
              <w:t xml:space="preserve"> </w:t>
            </w:r>
            <w:proofErr w:type="spellStart"/>
            <w:r w:rsidRPr="00C87210">
              <w:rPr>
                <w:rFonts w:ascii="Calibri" w:hAnsi="Calibri" w:cs="Calibri"/>
              </w:rPr>
              <w:t>za</w:t>
            </w:r>
            <w:proofErr w:type="spellEnd"/>
            <w:r w:rsidRPr="00C87210">
              <w:rPr>
                <w:rFonts w:ascii="Calibri" w:hAnsi="Calibri" w:cs="Calibri"/>
              </w:rPr>
              <w:t xml:space="preserve"> </w:t>
            </w:r>
            <w:proofErr w:type="spellStart"/>
            <w:r w:rsidRPr="00C87210">
              <w:rPr>
                <w:rFonts w:ascii="Calibri" w:hAnsi="Calibri" w:cs="Calibri"/>
              </w:rPr>
              <w:t>prodaju</w:t>
            </w:r>
            <w:proofErr w:type="spellEnd"/>
            <w:r w:rsidRPr="00C87210">
              <w:rPr>
                <w:rFonts w:ascii="Calibri" w:hAnsi="Calibri" w:cs="Calibri"/>
              </w:rPr>
              <w:t xml:space="preserve"> </w:t>
            </w:r>
          </w:p>
        </w:tc>
        <w:tc>
          <w:tcPr>
            <w:tcW w:w="2807" w:type="dxa"/>
            <w:tcBorders>
              <w:top w:val="nil"/>
              <w:left w:val="nil"/>
              <w:bottom w:val="nil"/>
              <w:right w:val="nil"/>
            </w:tcBorders>
            <w:shd w:val="clear" w:color="000000" w:fill="FFFFFF"/>
            <w:noWrap/>
            <w:vAlign w:val="bottom"/>
            <w:hideMark/>
          </w:tcPr>
          <w:p w:rsidR="00345DA0" w:rsidRPr="00C87210" w:rsidRDefault="00345DA0" w:rsidP="00221CFC">
            <w:pPr>
              <w:jc w:val="right"/>
              <w:rPr>
                <w:rFonts w:ascii="Calibri" w:hAnsi="Calibri" w:cs="Calibri"/>
              </w:rPr>
            </w:pPr>
            <w:r w:rsidRPr="00C87210">
              <w:rPr>
                <w:rFonts w:ascii="Calibri" w:hAnsi="Calibri" w:cs="Calibri"/>
              </w:rPr>
              <w:t xml:space="preserve">                                     -</w:t>
            </w:r>
            <w:r w:rsidR="00221CFC">
              <w:rPr>
                <w:rFonts w:ascii="Calibri" w:hAnsi="Calibri" w:cs="Calibri"/>
              </w:rPr>
              <w:t>3.100</w:t>
            </w:r>
            <w:r w:rsidRPr="00C87210">
              <w:rPr>
                <w:rFonts w:ascii="Calibri" w:hAnsi="Calibri" w:cs="Calibri"/>
              </w:rPr>
              <w:t xml:space="preserve">      </w:t>
            </w:r>
          </w:p>
        </w:tc>
        <w:tc>
          <w:tcPr>
            <w:tcW w:w="1896" w:type="dxa"/>
            <w:tcBorders>
              <w:top w:val="nil"/>
              <w:left w:val="nil"/>
              <w:bottom w:val="nil"/>
              <w:right w:val="nil"/>
            </w:tcBorders>
            <w:shd w:val="clear" w:color="000000" w:fill="FFFFFF"/>
            <w:noWrap/>
            <w:vAlign w:val="bottom"/>
            <w:hideMark/>
          </w:tcPr>
          <w:p w:rsidR="00345DA0" w:rsidRPr="00C87210" w:rsidRDefault="00A16C59" w:rsidP="00B71FDC">
            <w:pPr>
              <w:jc w:val="right"/>
              <w:rPr>
                <w:rFonts w:ascii="Calibri" w:hAnsi="Calibri" w:cs="Calibri"/>
              </w:rPr>
            </w:pPr>
            <w:r>
              <w:rPr>
                <w:rFonts w:ascii="Calibri" w:hAnsi="Calibri" w:cs="Calibri"/>
              </w:rPr>
              <w:t>167.164</w:t>
            </w:r>
            <w:r w:rsidR="00345DA0" w:rsidRPr="00C87210">
              <w:rPr>
                <w:rFonts w:ascii="Calibri" w:hAnsi="Calibri" w:cs="Calibri"/>
              </w:rPr>
              <w:t xml:space="preserve">                      </w:t>
            </w:r>
          </w:p>
        </w:tc>
      </w:tr>
      <w:tr w:rsidR="00345DA0" w:rsidRPr="00C87210" w:rsidTr="00345DA0">
        <w:trPr>
          <w:trHeight w:val="595"/>
        </w:trPr>
        <w:tc>
          <w:tcPr>
            <w:tcW w:w="3559" w:type="dxa"/>
            <w:tcBorders>
              <w:top w:val="nil"/>
              <w:left w:val="nil"/>
              <w:bottom w:val="nil"/>
              <w:right w:val="nil"/>
            </w:tcBorders>
            <w:shd w:val="clear" w:color="000000" w:fill="FFFFFF"/>
            <w:vAlign w:val="bottom"/>
            <w:hideMark/>
          </w:tcPr>
          <w:p w:rsidR="00345DA0" w:rsidRPr="00C87210" w:rsidRDefault="00345DA0" w:rsidP="002D1B63">
            <w:pPr>
              <w:rPr>
                <w:rFonts w:ascii="Calibri" w:hAnsi="Calibri" w:cs="Calibri"/>
              </w:rPr>
            </w:pPr>
            <w:proofErr w:type="spellStart"/>
            <w:r w:rsidRPr="00C87210">
              <w:rPr>
                <w:rFonts w:ascii="Calibri" w:hAnsi="Calibri" w:cs="Calibri"/>
              </w:rPr>
              <w:t>Ulaganja</w:t>
            </w:r>
            <w:proofErr w:type="spellEnd"/>
            <w:r w:rsidRPr="00C87210">
              <w:rPr>
                <w:rFonts w:ascii="Calibri" w:hAnsi="Calibri" w:cs="Calibri"/>
              </w:rPr>
              <w:t xml:space="preserve"> </w:t>
            </w:r>
            <w:proofErr w:type="spellStart"/>
            <w:r w:rsidRPr="00C87210">
              <w:rPr>
                <w:rFonts w:ascii="Calibri" w:hAnsi="Calibri" w:cs="Calibri"/>
              </w:rPr>
              <w:t>fonda</w:t>
            </w:r>
            <w:proofErr w:type="spellEnd"/>
            <w:r w:rsidRPr="00C87210">
              <w:rPr>
                <w:rFonts w:ascii="Calibri" w:hAnsi="Calibri" w:cs="Calibri"/>
              </w:rPr>
              <w:t xml:space="preserve"> u HOV </w:t>
            </w:r>
            <w:proofErr w:type="spellStart"/>
            <w:r w:rsidRPr="00C87210">
              <w:rPr>
                <w:rFonts w:ascii="Calibri" w:hAnsi="Calibri" w:cs="Calibri"/>
              </w:rPr>
              <w:t>po</w:t>
            </w:r>
            <w:proofErr w:type="spellEnd"/>
            <w:r w:rsidRPr="00C87210">
              <w:rPr>
                <w:rFonts w:ascii="Calibri" w:hAnsi="Calibri" w:cs="Calibri"/>
              </w:rPr>
              <w:t xml:space="preserve"> </w:t>
            </w:r>
            <w:proofErr w:type="spellStart"/>
            <w:r w:rsidRPr="00C87210">
              <w:rPr>
                <w:rFonts w:ascii="Calibri" w:hAnsi="Calibri" w:cs="Calibri"/>
              </w:rPr>
              <w:t>fer</w:t>
            </w:r>
            <w:proofErr w:type="spellEnd"/>
            <w:r w:rsidRPr="00C87210">
              <w:rPr>
                <w:rFonts w:ascii="Calibri" w:hAnsi="Calibri" w:cs="Calibri"/>
              </w:rPr>
              <w:t xml:space="preserve"> </w:t>
            </w:r>
            <w:proofErr w:type="spellStart"/>
            <w:r w:rsidRPr="00C87210">
              <w:rPr>
                <w:rFonts w:ascii="Calibri" w:hAnsi="Calibri" w:cs="Calibri"/>
              </w:rPr>
              <w:t>vrijednosti</w:t>
            </w:r>
            <w:proofErr w:type="spellEnd"/>
            <w:r w:rsidRPr="00C87210">
              <w:rPr>
                <w:rFonts w:ascii="Calibri" w:hAnsi="Calibri" w:cs="Calibri"/>
              </w:rPr>
              <w:t xml:space="preserve"> </w:t>
            </w:r>
            <w:proofErr w:type="spellStart"/>
            <w:r w:rsidRPr="00C87210">
              <w:rPr>
                <w:rFonts w:ascii="Calibri" w:hAnsi="Calibri" w:cs="Calibri"/>
              </w:rPr>
              <w:t>kroz</w:t>
            </w:r>
            <w:proofErr w:type="spellEnd"/>
            <w:r w:rsidRPr="00C87210">
              <w:rPr>
                <w:rFonts w:ascii="Calibri" w:hAnsi="Calibri" w:cs="Calibri"/>
              </w:rPr>
              <w:t xml:space="preserve"> </w:t>
            </w:r>
            <w:proofErr w:type="spellStart"/>
            <w:r w:rsidRPr="00C87210">
              <w:rPr>
                <w:rFonts w:ascii="Calibri" w:hAnsi="Calibri" w:cs="Calibri"/>
              </w:rPr>
              <w:t>bilans</w:t>
            </w:r>
            <w:proofErr w:type="spellEnd"/>
            <w:r w:rsidRPr="00C87210">
              <w:rPr>
                <w:rFonts w:ascii="Calibri" w:hAnsi="Calibri" w:cs="Calibri"/>
              </w:rPr>
              <w:t xml:space="preserve"> </w:t>
            </w:r>
            <w:proofErr w:type="spellStart"/>
            <w:r w:rsidRPr="00C87210">
              <w:rPr>
                <w:rFonts w:ascii="Calibri" w:hAnsi="Calibri" w:cs="Calibri"/>
              </w:rPr>
              <w:t>uspjeha</w:t>
            </w:r>
            <w:proofErr w:type="spellEnd"/>
          </w:p>
        </w:tc>
        <w:tc>
          <w:tcPr>
            <w:tcW w:w="2807" w:type="dxa"/>
            <w:tcBorders>
              <w:top w:val="nil"/>
              <w:left w:val="nil"/>
              <w:bottom w:val="nil"/>
              <w:right w:val="nil"/>
            </w:tcBorders>
            <w:shd w:val="clear" w:color="000000" w:fill="FFFFFF"/>
            <w:noWrap/>
            <w:vAlign w:val="bottom"/>
            <w:hideMark/>
          </w:tcPr>
          <w:p w:rsidR="00345DA0" w:rsidRPr="00C87210" w:rsidRDefault="00345DA0" w:rsidP="00B71FDC">
            <w:pPr>
              <w:jc w:val="right"/>
              <w:rPr>
                <w:rFonts w:ascii="Calibri" w:hAnsi="Calibri" w:cs="Calibri"/>
              </w:rPr>
            </w:pPr>
            <w:r w:rsidRPr="00C87210">
              <w:rPr>
                <w:rFonts w:ascii="Calibri" w:hAnsi="Calibri" w:cs="Calibri"/>
              </w:rPr>
              <w:t>223.106</w:t>
            </w:r>
          </w:p>
        </w:tc>
        <w:tc>
          <w:tcPr>
            <w:tcW w:w="1896" w:type="dxa"/>
            <w:tcBorders>
              <w:top w:val="nil"/>
              <w:left w:val="nil"/>
              <w:bottom w:val="nil"/>
              <w:right w:val="nil"/>
            </w:tcBorders>
            <w:shd w:val="clear" w:color="000000" w:fill="FFFFFF"/>
            <w:noWrap/>
            <w:vAlign w:val="bottom"/>
            <w:hideMark/>
          </w:tcPr>
          <w:p w:rsidR="00345DA0" w:rsidRPr="00C87210" w:rsidRDefault="00345DA0" w:rsidP="00B71FDC">
            <w:pPr>
              <w:jc w:val="right"/>
              <w:rPr>
                <w:rFonts w:ascii="Calibri" w:hAnsi="Calibri" w:cs="Calibri"/>
              </w:rPr>
            </w:pPr>
            <w:r w:rsidRPr="00C87210">
              <w:rPr>
                <w:rFonts w:ascii="Calibri" w:hAnsi="Calibri" w:cs="Calibri"/>
              </w:rPr>
              <w:t> -</w:t>
            </w:r>
          </w:p>
        </w:tc>
      </w:tr>
      <w:tr w:rsidR="00345DA0" w:rsidRPr="00C87210" w:rsidTr="00345DA0">
        <w:trPr>
          <w:trHeight w:val="548"/>
        </w:trPr>
        <w:tc>
          <w:tcPr>
            <w:tcW w:w="3559" w:type="dxa"/>
            <w:tcBorders>
              <w:top w:val="nil"/>
              <w:left w:val="nil"/>
              <w:bottom w:val="nil"/>
              <w:right w:val="nil"/>
            </w:tcBorders>
            <w:shd w:val="clear" w:color="000000" w:fill="FFFFFF"/>
            <w:vAlign w:val="bottom"/>
            <w:hideMark/>
          </w:tcPr>
          <w:p w:rsidR="00345DA0" w:rsidRPr="00C87210" w:rsidRDefault="00345DA0" w:rsidP="002D1B63">
            <w:pPr>
              <w:rPr>
                <w:rFonts w:ascii="Calibri" w:hAnsi="Calibri" w:cs="Calibri"/>
              </w:rPr>
            </w:pPr>
            <w:proofErr w:type="spellStart"/>
            <w:r w:rsidRPr="00C87210">
              <w:rPr>
                <w:rFonts w:ascii="Calibri" w:hAnsi="Calibri" w:cs="Calibri"/>
              </w:rPr>
              <w:t>Ispravka</w:t>
            </w:r>
            <w:proofErr w:type="spellEnd"/>
            <w:r w:rsidRPr="00C87210">
              <w:rPr>
                <w:rFonts w:ascii="Calibri" w:hAnsi="Calibri" w:cs="Calibri"/>
              </w:rPr>
              <w:t xml:space="preserve"> </w:t>
            </w:r>
            <w:proofErr w:type="spellStart"/>
            <w:r w:rsidRPr="00C87210">
              <w:rPr>
                <w:rFonts w:ascii="Calibri" w:hAnsi="Calibri" w:cs="Calibri"/>
              </w:rPr>
              <w:t>vrijednosti</w:t>
            </w:r>
            <w:proofErr w:type="spellEnd"/>
            <w:r w:rsidRPr="00C87210">
              <w:rPr>
                <w:rFonts w:ascii="Calibri" w:hAnsi="Calibri" w:cs="Calibri"/>
              </w:rPr>
              <w:t xml:space="preserve"> </w:t>
            </w:r>
            <w:proofErr w:type="spellStart"/>
            <w:r w:rsidRPr="00C87210">
              <w:rPr>
                <w:rFonts w:ascii="Calibri" w:hAnsi="Calibri" w:cs="Calibri"/>
              </w:rPr>
              <w:t>ulaganja</w:t>
            </w:r>
            <w:proofErr w:type="spellEnd"/>
            <w:r w:rsidRPr="00C87210">
              <w:rPr>
                <w:rFonts w:ascii="Calibri" w:hAnsi="Calibri" w:cs="Calibri"/>
              </w:rPr>
              <w:t xml:space="preserve"> u HOV </w:t>
            </w:r>
            <w:proofErr w:type="spellStart"/>
            <w:r w:rsidRPr="00C87210">
              <w:rPr>
                <w:rFonts w:ascii="Calibri" w:hAnsi="Calibri" w:cs="Calibri"/>
              </w:rPr>
              <w:t>po</w:t>
            </w:r>
            <w:proofErr w:type="spellEnd"/>
            <w:r w:rsidRPr="00C87210">
              <w:rPr>
                <w:rFonts w:ascii="Calibri" w:hAnsi="Calibri" w:cs="Calibri"/>
              </w:rPr>
              <w:t xml:space="preserve"> </w:t>
            </w:r>
            <w:proofErr w:type="spellStart"/>
            <w:r w:rsidRPr="00C87210">
              <w:rPr>
                <w:rFonts w:ascii="Calibri" w:hAnsi="Calibri" w:cs="Calibri"/>
              </w:rPr>
              <w:t>fer</w:t>
            </w:r>
            <w:proofErr w:type="spellEnd"/>
            <w:r w:rsidRPr="00C87210">
              <w:rPr>
                <w:rFonts w:ascii="Calibri" w:hAnsi="Calibri" w:cs="Calibri"/>
              </w:rPr>
              <w:t xml:space="preserve"> </w:t>
            </w:r>
            <w:proofErr w:type="spellStart"/>
            <w:r w:rsidRPr="00C87210">
              <w:rPr>
                <w:rFonts w:ascii="Calibri" w:hAnsi="Calibri" w:cs="Calibri"/>
              </w:rPr>
              <w:t>vrijednosti</w:t>
            </w:r>
            <w:proofErr w:type="spellEnd"/>
            <w:r w:rsidRPr="00C87210">
              <w:rPr>
                <w:rFonts w:ascii="Calibri" w:hAnsi="Calibri" w:cs="Calibri"/>
              </w:rPr>
              <w:t xml:space="preserve"> </w:t>
            </w:r>
            <w:proofErr w:type="spellStart"/>
            <w:r w:rsidRPr="00C87210">
              <w:rPr>
                <w:rFonts w:ascii="Calibri" w:hAnsi="Calibri" w:cs="Calibri"/>
              </w:rPr>
              <w:t>kroz</w:t>
            </w:r>
            <w:proofErr w:type="spellEnd"/>
            <w:r w:rsidRPr="00C87210">
              <w:rPr>
                <w:rFonts w:ascii="Calibri" w:hAnsi="Calibri" w:cs="Calibri"/>
              </w:rPr>
              <w:t xml:space="preserve"> </w:t>
            </w:r>
            <w:proofErr w:type="spellStart"/>
            <w:r w:rsidRPr="00C87210">
              <w:rPr>
                <w:rFonts w:ascii="Calibri" w:hAnsi="Calibri" w:cs="Calibri"/>
              </w:rPr>
              <w:t>bilans</w:t>
            </w:r>
            <w:proofErr w:type="spellEnd"/>
            <w:r w:rsidRPr="00C87210">
              <w:rPr>
                <w:rFonts w:ascii="Calibri" w:hAnsi="Calibri" w:cs="Calibri"/>
              </w:rPr>
              <w:t xml:space="preserve"> </w:t>
            </w:r>
            <w:proofErr w:type="spellStart"/>
            <w:r w:rsidRPr="00C87210">
              <w:rPr>
                <w:rFonts w:ascii="Calibri" w:hAnsi="Calibri" w:cs="Calibri"/>
              </w:rPr>
              <w:t>uspjeha</w:t>
            </w:r>
            <w:proofErr w:type="spellEnd"/>
          </w:p>
        </w:tc>
        <w:tc>
          <w:tcPr>
            <w:tcW w:w="2807" w:type="dxa"/>
            <w:tcBorders>
              <w:top w:val="nil"/>
              <w:left w:val="nil"/>
              <w:bottom w:val="nil"/>
              <w:right w:val="nil"/>
            </w:tcBorders>
            <w:shd w:val="clear" w:color="000000" w:fill="FFFFFF"/>
            <w:noWrap/>
            <w:vAlign w:val="bottom"/>
            <w:hideMark/>
          </w:tcPr>
          <w:p w:rsidR="00345DA0" w:rsidRPr="00C87210" w:rsidRDefault="00345DA0" w:rsidP="00B71FDC">
            <w:pPr>
              <w:jc w:val="right"/>
              <w:rPr>
                <w:rFonts w:ascii="Calibri" w:hAnsi="Calibri" w:cs="Calibri"/>
              </w:rPr>
            </w:pPr>
            <w:r w:rsidRPr="00C87210">
              <w:rPr>
                <w:rFonts w:ascii="Calibri" w:hAnsi="Calibri" w:cs="Calibri"/>
              </w:rPr>
              <w:t xml:space="preserve">                                      128.135      </w:t>
            </w:r>
          </w:p>
        </w:tc>
        <w:tc>
          <w:tcPr>
            <w:tcW w:w="1896"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r w:rsidRPr="00C87210">
              <w:rPr>
                <w:rFonts w:ascii="Calibri" w:hAnsi="Calibri" w:cs="Calibri"/>
              </w:rPr>
              <w:t> </w:t>
            </w:r>
          </w:p>
        </w:tc>
      </w:tr>
      <w:tr w:rsidR="00345DA0" w:rsidRPr="00C87210" w:rsidTr="00345DA0">
        <w:trPr>
          <w:trHeight w:val="376"/>
        </w:trPr>
        <w:tc>
          <w:tcPr>
            <w:tcW w:w="3559"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r w:rsidRPr="00C87210">
              <w:rPr>
                <w:rFonts w:ascii="Calibri" w:hAnsi="Calibri" w:cs="Calibri"/>
              </w:rPr>
              <w:t> </w:t>
            </w:r>
          </w:p>
        </w:tc>
        <w:tc>
          <w:tcPr>
            <w:tcW w:w="2807"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r w:rsidRPr="00C87210">
              <w:rPr>
                <w:rFonts w:ascii="Calibri" w:hAnsi="Calibri" w:cs="Calibri"/>
              </w:rPr>
              <w:t> </w:t>
            </w:r>
          </w:p>
        </w:tc>
        <w:tc>
          <w:tcPr>
            <w:tcW w:w="1896"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r w:rsidRPr="00C87210">
              <w:rPr>
                <w:rFonts w:ascii="Calibri" w:hAnsi="Calibri" w:cs="Calibri"/>
              </w:rPr>
              <w:t> </w:t>
            </w:r>
          </w:p>
        </w:tc>
      </w:tr>
      <w:tr w:rsidR="00345DA0" w:rsidRPr="00C87210" w:rsidTr="00345DA0">
        <w:trPr>
          <w:trHeight w:val="376"/>
        </w:trPr>
        <w:tc>
          <w:tcPr>
            <w:tcW w:w="3559" w:type="dxa"/>
            <w:tcBorders>
              <w:top w:val="nil"/>
              <w:left w:val="nil"/>
              <w:bottom w:val="nil"/>
              <w:right w:val="nil"/>
            </w:tcBorders>
            <w:shd w:val="clear" w:color="000000" w:fill="FFFFFF"/>
            <w:noWrap/>
            <w:vAlign w:val="bottom"/>
            <w:hideMark/>
          </w:tcPr>
          <w:p w:rsidR="00345DA0" w:rsidRPr="00C87210" w:rsidRDefault="00221CFC" w:rsidP="00221CFC">
            <w:pPr>
              <w:rPr>
                <w:rFonts w:ascii="Calibri" w:hAnsi="Calibri" w:cs="Calibri"/>
                <w:b/>
                <w:bCs/>
              </w:rPr>
            </w:pPr>
            <w:proofErr w:type="spellStart"/>
            <w:proofErr w:type="gramStart"/>
            <w:r>
              <w:rPr>
                <w:rFonts w:ascii="Calibri" w:hAnsi="Calibri" w:cs="Calibri"/>
                <w:b/>
                <w:bCs/>
              </w:rPr>
              <w:t>na</w:t>
            </w:r>
            <w:proofErr w:type="spellEnd"/>
            <w:proofErr w:type="gramEnd"/>
            <w:r>
              <w:rPr>
                <w:rFonts w:ascii="Calibri" w:hAnsi="Calibri" w:cs="Calibri"/>
                <w:b/>
                <w:bCs/>
              </w:rPr>
              <w:t xml:space="preserve"> </w:t>
            </w:r>
            <w:proofErr w:type="spellStart"/>
            <w:r>
              <w:rPr>
                <w:rFonts w:ascii="Calibri" w:hAnsi="Calibri" w:cs="Calibri"/>
                <w:b/>
                <w:bCs/>
              </w:rPr>
              <w:t>dan</w:t>
            </w:r>
            <w:proofErr w:type="spellEnd"/>
            <w:r>
              <w:rPr>
                <w:rFonts w:ascii="Calibri" w:hAnsi="Calibri" w:cs="Calibri"/>
                <w:b/>
                <w:bCs/>
              </w:rPr>
              <w:t xml:space="preserve"> 30</w:t>
            </w:r>
            <w:r w:rsidR="00345DA0" w:rsidRPr="00C87210">
              <w:rPr>
                <w:rFonts w:ascii="Calibri" w:hAnsi="Calibri" w:cs="Calibri"/>
                <w:b/>
                <w:bCs/>
              </w:rPr>
              <w:t xml:space="preserve">. </w:t>
            </w:r>
            <w:proofErr w:type="spellStart"/>
            <w:r>
              <w:rPr>
                <w:rFonts w:ascii="Calibri" w:hAnsi="Calibri" w:cs="Calibri"/>
                <w:b/>
                <w:bCs/>
              </w:rPr>
              <w:t>jun</w:t>
            </w:r>
            <w:proofErr w:type="spellEnd"/>
            <w:r w:rsidR="00345DA0" w:rsidRPr="00C87210">
              <w:rPr>
                <w:rFonts w:ascii="Calibri" w:hAnsi="Calibri" w:cs="Calibri"/>
                <w:b/>
                <w:bCs/>
              </w:rPr>
              <w:t xml:space="preserve"> 2021</w:t>
            </w:r>
          </w:p>
        </w:tc>
        <w:tc>
          <w:tcPr>
            <w:tcW w:w="2807" w:type="dxa"/>
            <w:tcBorders>
              <w:top w:val="nil"/>
              <w:left w:val="nil"/>
              <w:bottom w:val="nil"/>
              <w:right w:val="nil"/>
            </w:tcBorders>
            <w:shd w:val="clear" w:color="000000" w:fill="FFFFFF"/>
            <w:noWrap/>
            <w:vAlign w:val="bottom"/>
            <w:hideMark/>
          </w:tcPr>
          <w:p w:rsidR="00345DA0" w:rsidRPr="00C87210" w:rsidRDefault="00345DA0" w:rsidP="00221CFC">
            <w:pPr>
              <w:jc w:val="right"/>
              <w:rPr>
                <w:rFonts w:ascii="Calibri" w:hAnsi="Calibri" w:cs="Calibri"/>
                <w:b/>
                <w:bCs/>
                <w:u w:val="single"/>
              </w:rPr>
            </w:pPr>
            <w:r w:rsidRPr="00C87210">
              <w:rPr>
                <w:rFonts w:ascii="Calibri" w:hAnsi="Calibri" w:cs="Calibri"/>
                <w:b/>
                <w:bCs/>
                <w:u w:val="single"/>
              </w:rPr>
              <w:t xml:space="preserve">               </w:t>
            </w:r>
            <w:r w:rsidR="00221CFC">
              <w:rPr>
                <w:rFonts w:ascii="Calibri" w:hAnsi="Calibri" w:cs="Calibri"/>
                <w:b/>
                <w:bCs/>
                <w:u w:val="single"/>
              </w:rPr>
              <w:t>572.265</w:t>
            </w:r>
          </w:p>
        </w:tc>
        <w:tc>
          <w:tcPr>
            <w:tcW w:w="1896" w:type="dxa"/>
            <w:tcBorders>
              <w:top w:val="nil"/>
              <w:left w:val="nil"/>
              <w:bottom w:val="nil"/>
              <w:right w:val="nil"/>
            </w:tcBorders>
            <w:shd w:val="clear" w:color="000000" w:fill="FFFFFF"/>
            <w:noWrap/>
            <w:vAlign w:val="bottom"/>
            <w:hideMark/>
          </w:tcPr>
          <w:p w:rsidR="00345DA0" w:rsidRPr="00C87210" w:rsidRDefault="00345DA0" w:rsidP="00A16C59">
            <w:pPr>
              <w:jc w:val="right"/>
              <w:rPr>
                <w:rFonts w:ascii="Calibri" w:hAnsi="Calibri" w:cs="Calibri"/>
                <w:b/>
                <w:bCs/>
                <w:u w:val="single"/>
              </w:rPr>
            </w:pPr>
            <w:r w:rsidRPr="00C87210">
              <w:rPr>
                <w:rFonts w:ascii="Calibri" w:hAnsi="Calibri" w:cs="Calibri"/>
                <w:b/>
                <w:bCs/>
                <w:u w:val="single"/>
              </w:rPr>
              <w:t xml:space="preserve">                    </w:t>
            </w:r>
            <w:r w:rsidR="00A16C59">
              <w:rPr>
                <w:rFonts w:ascii="Calibri" w:hAnsi="Calibri" w:cs="Calibri"/>
                <w:b/>
                <w:bCs/>
                <w:u w:val="single"/>
              </w:rPr>
              <w:t>749.946</w:t>
            </w:r>
            <w:r w:rsidRPr="00C87210">
              <w:rPr>
                <w:rFonts w:ascii="Calibri" w:hAnsi="Calibri" w:cs="Calibri"/>
                <w:b/>
                <w:bCs/>
                <w:u w:val="single"/>
              </w:rPr>
              <w:t xml:space="preserve"> </w:t>
            </w:r>
          </w:p>
        </w:tc>
      </w:tr>
    </w:tbl>
    <w:p w:rsidR="00C87210" w:rsidRPr="00A47E7E" w:rsidRDefault="00C87210"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2D6A6A">
        <w:rPr>
          <w:rFonts w:ascii="Calibri" w:hAnsi="Calibri" w:cs="Calibri"/>
          <w:noProof/>
          <w:lang w:val="sr-Latn-CS"/>
        </w:rPr>
        <w:t xml:space="preserve">Najznačajnija ulaganja u HOV koje su </w:t>
      </w:r>
      <w:r w:rsidR="00221CFC">
        <w:rPr>
          <w:rFonts w:ascii="Calibri" w:hAnsi="Calibri" w:cs="Calibri"/>
          <w:noProof/>
          <w:lang w:val="sr-Latn-CS"/>
        </w:rPr>
        <w:t>raspoložive za prodaju na dan 30</w:t>
      </w:r>
      <w:r w:rsidRPr="002D6A6A">
        <w:rPr>
          <w:rFonts w:ascii="Calibri" w:hAnsi="Calibri" w:cs="Calibri"/>
          <w:noProof/>
          <w:lang w:val="sr-Latn-CS"/>
        </w:rPr>
        <w:t xml:space="preserve">. </w:t>
      </w:r>
      <w:r w:rsidR="00221CFC">
        <w:rPr>
          <w:rFonts w:ascii="Calibri" w:hAnsi="Calibri" w:cs="Calibri"/>
          <w:noProof/>
          <w:lang w:val="sr-Latn-CS"/>
        </w:rPr>
        <w:t>06</w:t>
      </w:r>
      <w:r w:rsidR="007C402E">
        <w:rPr>
          <w:rFonts w:ascii="Calibri" w:hAnsi="Calibri" w:cs="Calibri"/>
          <w:noProof/>
          <w:lang w:val="sr-Latn-CS"/>
        </w:rPr>
        <w:t>. 2021</w:t>
      </w:r>
      <w:r w:rsidRPr="002D6A6A">
        <w:rPr>
          <w:rFonts w:ascii="Calibri" w:hAnsi="Calibri" w:cs="Calibri"/>
          <w:noProof/>
          <w:lang w:val="sr-Latn-CS"/>
        </w:rPr>
        <w:t>. godine su:</w:t>
      </w:r>
    </w:p>
    <w:p w:rsidR="00CE590E" w:rsidRDefault="00CE59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8702" w:type="dxa"/>
        <w:tblInd w:w="93" w:type="dxa"/>
        <w:tblLook w:val="04A0" w:firstRow="1" w:lastRow="0" w:firstColumn="1" w:lastColumn="0" w:noHBand="0" w:noVBand="1"/>
      </w:tblPr>
      <w:tblGrid>
        <w:gridCol w:w="5649"/>
        <w:gridCol w:w="1128"/>
        <w:gridCol w:w="1046"/>
        <w:gridCol w:w="879"/>
      </w:tblGrid>
      <w:tr w:rsidR="00CE590E" w:rsidTr="00CE590E">
        <w:trPr>
          <w:trHeight w:val="1035"/>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i/>
                <w:iCs/>
                <w:color w:val="000000"/>
                <w:sz w:val="20"/>
                <w:szCs w:val="20"/>
              </w:rPr>
            </w:pPr>
            <w:r>
              <w:rPr>
                <w:rFonts w:ascii="Calibri" w:hAnsi="Calibri" w:cs="Calibri"/>
                <w:i/>
                <w:iCs/>
                <w:color w:val="000000"/>
                <w:sz w:val="20"/>
                <w:szCs w:val="20"/>
                <w:lang w:val="sr-Latn-BA"/>
              </w:rPr>
              <w:t> </w:t>
            </w:r>
          </w:p>
        </w:tc>
        <w:tc>
          <w:tcPr>
            <w:tcW w:w="1128" w:type="dxa"/>
            <w:tcBorders>
              <w:top w:val="single" w:sz="8" w:space="0" w:color="auto"/>
              <w:left w:val="nil"/>
              <w:bottom w:val="nil"/>
              <w:right w:val="nil"/>
            </w:tcBorders>
            <w:shd w:val="clear" w:color="000000" w:fill="FFFFFF"/>
            <w:vAlign w:val="center"/>
            <w:hideMark/>
          </w:tcPr>
          <w:p w:rsidR="00CE590E" w:rsidRDefault="00CE590E">
            <w:pPr>
              <w:jc w:val="center"/>
              <w:rPr>
                <w:rFonts w:ascii="Calibri" w:hAnsi="Calibri" w:cs="Calibri"/>
                <w:b/>
                <w:bCs/>
                <w:i/>
                <w:iCs/>
                <w:color w:val="000000"/>
                <w:sz w:val="20"/>
                <w:szCs w:val="20"/>
              </w:rPr>
            </w:pPr>
            <w:r>
              <w:rPr>
                <w:rFonts w:ascii="Calibri" w:hAnsi="Calibri" w:cs="Calibri"/>
                <w:b/>
                <w:bCs/>
                <w:i/>
                <w:iCs/>
                <w:color w:val="000000"/>
                <w:sz w:val="20"/>
                <w:szCs w:val="20"/>
                <w:lang w:val="sr-Latn-BA"/>
              </w:rPr>
              <w:t>Fer vrijednost</w:t>
            </w:r>
          </w:p>
        </w:tc>
        <w:tc>
          <w:tcPr>
            <w:tcW w:w="1046" w:type="dxa"/>
            <w:tcBorders>
              <w:top w:val="single" w:sz="8" w:space="0" w:color="auto"/>
              <w:left w:val="nil"/>
              <w:bottom w:val="nil"/>
              <w:right w:val="nil"/>
            </w:tcBorders>
            <w:shd w:val="clear" w:color="000000" w:fill="FFFFFF"/>
            <w:vAlign w:val="center"/>
            <w:hideMark/>
          </w:tcPr>
          <w:p w:rsidR="00CE590E" w:rsidRDefault="00CE590E">
            <w:pPr>
              <w:jc w:val="center"/>
              <w:rPr>
                <w:rFonts w:ascii="Calibri" w:hAnsi="Calibri" w:cs="Calibri"/>
                <w:b/>
                <w:bCs/>
                <w:i/>
                <w:iCs/>
                <w:color w:val="000000"/>
                <w:sz w:val="20"/>
                <w:szCs w:val="20"/>
              </w:rPr>
            </w:pPr>
            <w:r>
              <w:rPr>
                <w:rFonts w:ascii="Calibri" w:hAnsi="Calibri" w:cs="Calibri"/>
                <w:b/>
                <w:bCs/>
                <w:i/>
                <w:iCs/>
                <w:color w:val="000000"/>
                <w:sz w:val="20"/>
                <w:szCs w:val="20"/>
                <w:lang w:val="sr-Latn-BA"/>
              </w:rPr>
              <w:t xml:space="preserve">% vlasništva u kapitalu emitenta </w:t>
            </w:r>
          </w:p>
        </w:tc>
        <w:tc>
          <w:tcPr>
            <w:tcW w:w="879" w:type="dxa"/>
            <w:tcBorders>
              <w:top w:val="single" w:sz="8" w:space="0" w:color="auto"/>
              <w:left w:val="nil"/>
              <w:bottom w:val="nil"/>
              <w:right w:val="nil"/>
            </w:tcBorders>
            <w:shd w:val="clear" w:color="000000" w:fill="FFFFFF"/>
            <w:vAlign w:val="center"/>
            <w:hideMark/>
          </w:tcPr>
          <w:p w:rsidR="00CE590E" w:rsidRDefault="00CE590E">
            <w:pPr>
              <w:jc w:val="center"/>
              <w:rPr>
                <w:rFonts w:ascii="Calibri" w:hAnsi="Calibri" w:cs="Calibri"/>
                <w:b/>
                <w:bCs/>
                <w:i/>
                <w:iCs/>
                <w:color w:val="000000"/>
                <w:sz w:val="20"/>
                <w:szCs w:val="20"/>
              </w:rPr>
            </w:pPr>
            <w:r>
              <w:rPr>
                <w:rFonts w:ascii="Calibri" w:hAnsi="Calibri" w:cs="Calibri"/>
                <w:b/>
                <w:bCs/>
                <w:i/>
                <w:iCs/>
                <w:color w:val="000000"/>
                <w:sz w:val="20"/>
                <w:szCs w:val="20"/>
                <w:lang w:val="sr-Latn-BA"/>
              </w:rPr>
              <w:t>% ukupne imovine Fonda</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t xml:space="preserve">Sarajevo-gas ad, Sarajevo  </w:t>
            </w:r>
          </w:p>
        </w:tc>
        <w:tc>
          <w:tcPr>
            <w:tcW w:w="1128" w:type="dxa"/>
            <w:tcBorders>
              <w:top w:val="nil"/>
              <w:left w:val="nil"/>
              <w:bottom w:val="nil"/>
              <w:right w:val="nil"/>
            </w:tcBorders>
            <w:shd w:val="clear" w:color="000000" w:fill="FFFFFF"/>
            <w:vAlign w:val="center"/>
            <w:hideMark/>
          </w:tcPr>
          <w:p w:rsidR="00CE590E" w:rsidRDefault="007C402E">
            <w:pPr>
              <w:jc w:val="right"/>
              <w:rPr>
                <w:rFonts w:ascii="Calibri" w:hAnsi="Calibri" w:cs="Calibri"/>
                <w:color w:val="000000"/>
                <w:sz w:val="20"/>
                <w:szCs w:val="20"/>
              </w:rPr>
            </w:pPr>
            <w:r>
              <w:rPr>
                <w:rFonts w:ascii="Calibri" w:hAnsi="Calibri" w:cs="Calibri"/>
                <w:color w:val="000000"/>
                <w:sz w:val="20"/>
                <w:szCs w:val="20"/>
                <w:lang w:val="sr-Latn-BA"/>
              </w:rPr>
              <w:t>327.711</w:t>
            </w:r>
          </w:p>
        </w:tc>
        <w:tc>
          <w:tcPr>
            <w:tcW w:w="1046" w:type="dxa"/>
            <w:tcBorders>
              <w:top w:val="nil"/>
              <w:left w:val="nil"/>
              <w:bottom w:val="nil"/>
              <w:right w:val="nil"/>
            </w:tcBorders>
            <w:shd w:val="clear" w:color="000000" w:fill="FFFFFF"/>
            <w:noWrap/>
            <w:vAlign w:val="center"/>
            <w:hideMark/>
          </w:tcPr>
          <w:p w:rsidR="00CE590E" w:rsidRDefault="00CE590E">
            <w:pPr>
              <w:jc w:val="right"/>
              <w:rPr>
                <w:rFonts w:ascii="Calibri" w:hAnsi="Calibri" w:cs="Calibri"/>
                <w:color w:val="000000"/>
                <w:sz w:val="20"/>
                <w:szCs w:val="20"/>
              </w:rPr>
            </w:pPr>
            <w:r>
              <w:rPr>
                <w:rFonts w:ascii="Calibri" w:hAnsi="Calibri" w:cs="Calibri"/>
                <w:color w:val="000000"/>
                <w:sz w:val="20"/>
                <w:szCs w:val="20"/>
                <w:lang w:val="sr-Latn-BA"/>
              </w:rPr>
              <w:t>9,99%</w:t>
            </w:r>
          </w:p>
        </w:tc>
        <w:tc>
          <w:tcPr>
            <w:tcW w:w="879" w:type="dxa"/>
            <w:tcBorders>
              <w:top w:val="nil"/>
              <w:left w:val="nil"/>
              <w:bottom w:val="nil"/>
              <w:right w:val="nil"/>
            </w:tcBorders>
            <w:shd w:val="clear" w:color="000000" w:fill="FFFFFF"/>
            <w:noWrap/>
            <w:vAlign w:val="center"/>
            <w:hideMark/>
          </w:tcPr>
          <w:p w:rsidR="00CE590E" w:rsidRDefault="00D4169F">
            <w:pPr>
              <w:jc w:val="right"/>
              <w:rPr>
                <w:rFonts w:ascii="Calibri" w:hAnsi="Calibri" w:cs="Calibri"/>
                <w:color w:val="000000"/>
                <w:sz w:val="20"/>
                <w:szCs w:val="20"/>
              </w:rPr>
            </w:pPr>
            <w:r>
              <w:rPr>
                <w:rFonts w:ascii="Calibri" w:hAnsi="Calibri" w:cs="Calibri"/>
                <w:color w:val="000000"/>
                <w:sz w:val="20"/>
                <w:szCs w:val="20"/>
                <w:lang w:val="sr-Latn-BA"/>
              </w:rPr>
              <w:t>17,10</w:t>
            </w:r>
            <w:r w:rsidR="00CE590E">
              <w:rPr>
                <w:rFonts w:ascii="Calibri" w:hAnsi="Calibri" w:cs="Calibri"/>
                <w:color w:val="000000"/>
                <w:sz w:val="20"/>
                <w:szCs w:val="20"/>
                <w:lang w:val="sr-Latn-BA"/>
              </w:rPr>
              <w:t>%</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t xml:space="preserve">Dobojinvest ad, Doboj </w:t>
            </w:r>
          </w:p>
        </w:tc>
        <w:tc>
          <w:tcPr>
            <w:tcW w:w="1128" w:type="dxa"/>
            <w:tcBorders>
              <w:top w:val="nil"/>
              <w:left w:val="nil"/>
              <w:bottom w:val="nil"/>
              <w:right w:val="nil"/>
            </w:tcBorders>
            <w:shd w:val="clear" w:color="000000" w:fill="FFFFFF"/>
            <w:vAlign w:val="center"/>
            <w:hideMark/>
          </w:tcPr>
          <w:p w:rsidR="00CE590E" w:rsidRDefault="00CE590E">
            <w:pPr>
              <w:jc w:val="right"/>
              <w:rPr>
                <w:rFonts w:ascii="Calibri" w:hAnsi="Calibri" w:cs="Calibri"/>
                <w:color w:val="000000"/>
                <w:sz w:val="20"/>
                <w:szCs w:val="20"/>
              </w:rPr>
            </w:pPr>
            <w:r>
              <w:rPr>
                <w:rFonts w:ascii="Calibri" w:hAnsi="Calibri" w:cs="Calibri"/>
                <w:color w:val="000000"/>
                <w:sz w:val="20"/>
                <w:szCs w:val="20"/>
                <w:lang w:val="sr-Latn-BA"/>
              </w:rPr>
              <w:t>14.690</w:t>
            </w:r>
          </w:p>
        </w:tc>
        <w:tc>
          <w:tcPr>
            <w:tcW w:w="1046" w:type="dxa"/>
            <w:tcBorders>
              <w:top w:val="nil"/>
              <w:left w:val="nil"/>
              <w:bottom w:val="nil"/>
              <w:right w:val="nil"/>
            </w:tcBorders>
            <w:shd w:val="clear" w:color="000000" w:fill="FFFFFF"/>
            <w:noWrap/>
            <w:vAlign w:val="center"/>
            <w:hideMark/>
          </w:tcPr>
          <w:p w:rsidR="00CE590E" w:rsidRDefault="00CE590E">
            <w:pPr>
              <w:jc w:val="right"/>
              <w:rPr>
                <w:rFonts w:ascii="Calibri" w:hAnsi="Calibri" w:cs="Calibri"/>
                <w:color w:val="000000"/>
                <w:sz w:val="20"/>
                <w:szCs w:val="20"/>
              </w:rPr>
            </w:pPr>
            <w:r>
              <w:rPr>
                <w:rFonts w:ascii="Calibri" w:hAnsi="Calibri" w:cs="Calibri"/>
                <w:color w:val="000000"/>
                <w:sz w:val="20"/>
                <w:szCs w:val="20"/>
                <w:lang w:val="sr-Latn-BA"/>
              </w:rPr>
              <w:t>9,29%</w:t>
            </w:r>
          </w:p>
        </w:tc>
        <w:tc>
          <w:tcPr>
            <w:tcW w:w="879" w:type="dxa"/>
            <w:tcBorders>
              <w:top w:val="nil"/>
              <w:left w:val="nil"/>
              <w:bottom w:val="nil"/>
              <w:right w:val="nil"/>
            </w:tcBorders>
            <w:shd w:val="clear" w:color="000000" w:fill="FFFFFF"/>
            <w:noWrap/>
            <w:vAlign w:val="center"/>
            <w:hideMark/>
          </w:tcPr>
          <w:p w:rsidR="00CE590E" w:rsidRDefault="0066405C" w:rsidP="007C402E">
            <w:pPr>
              <w:jc w:val="right"/>
              <w:rPr>
                <w:rFonts w:ascii="Calibri" w:hAnsi="Calibri" w:cs="Calibri"/>
                <w:color w:val="000000"/>
                <w:sz w:val="20"/>
                <w:szCs w:val="20"/>
              </w:rPr>
            </w:pPr>
            <w:r>
              <w:rPr>
                <w:rFonts w:ascii="Calibri" w:hAnsi="Calibri" w:cs="Calibri"/>
                <w:color w:val="000000"/>
                <w:sz w:val="20"/>
                <w:szCs w:val="20"/>
                <w:lang w:val="sr-Latn-BA"/>
              </w:rPr>
              <w:t>0,</w:t>
            </w:r>
            <w:r w:rsidR="00D4169F">
              <w:rPr>
                <w:rFonts w:ascii="Calibri" w:hAnsi="Calibri" w:cs="Calibri"/>
                <w:color w:val="000000"/>
                <w:sz w:val="20"/>
                <w:szCs w:val="20"/>
                <w:lang w:val="sr-Latn-BA"/>
              </w:rPr>
              <w:t>77</w:t>
            </w:r>
            <w:r w:rsidR="00CE590E">
              <w:rPr>
                <w:rFonts w:ascii="Calibri" w:hAnsi="Calibri" w:cs="Calibri"/>
                <w:color w:val="000000"/>
                <w:sz w:val="20"/>
                <w:szCs w:val="20"/>
                <w:lang w:val="sr-Latn-BA"/>
              </w:rPr>
              <w:t>%</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color w:val="000000"/>
                <w:sz w:val="20"/>
                <w:szCs w:val="20"/>
                <w:lang w:val="sr-Latn-BA"/>
              </w:rPr>
            </w:pPr>
            <w:r>
              <w:rPr>
                <w:rFonts w:ascii="Calibri" w:hAnsi="Calibri" w:cs="Calibri"/>
                <w:color w:val="000000"/>
                <w:sz w:val="20"/>
                <w:szCs w:val="20"/>
                <w:lang w:val="sr-Latn-BA"/>
              </w:rPr>
              <w:t xml:space="preserve">Duvan ad, Bijeljina  </w:t>
            </w:r>
          </w:p>
          <w:p w:rsidR="002D1B63" w:rsidRDefault="002D1B63">
            <w:pPr>
              <w:rPr>
                <w:rFonts w:ascii="Calibri" w:hAnsi="Calibri" w:cs="Calibri"/>
                <w:color w:val="000000"/>
                <w:sz w:val="20"/>
                <w:szCs w:val="20"/>
                <w:lang w:val="sr-Latn-BA"/>
              </w:rPr>
            </w:pPr>
          </w:p>
          <w:p w:rsidR="002D1B63" w:rsidRDefault="002D1B63">
            <w:pPr>
              <w:rPr>
                <w:rFonts w:ascii="Calibri" w:hAnsi="Calibri" w:cs="Calibri"/>
                <w:color w:val="000000"/>
                <w:sz w:val="20"/>
                <w:szCs w:val="20"/>
              </w:rPr>
            </w:pPr>
          </w:p>
        </w:tc>
        <w:tc>
          <w:tcPr>
            <w:tcW w:w="1128" w:type="dxa"/>
            <w:tcBorders>
              <w:top w:val="nil"/>
              <w:left w:val="nil"/>
              <w:bottom w:val="nil"/>
              <w:right w:val="nil"/>
            </w:tcBorders>
            <w:shd w:val="clear" w:color="000000" w:fill="FFFFFF"/>
            <w:vAlign w:val="center"/>
            <w:hideMark/>
          </w:tcPr>
          <w:p w:rsidR="00CE590E" w:rsidRDefault="00CE590E">
            <w:pPr>
              <w:jc w:val="right"/>
              <w:rPr>
                <w:rFonts w:ascii="Calibri" w:hAnsi="Calibri" w:cs="Calibri"/>
                <w:color w:val="000000"/>
                <w:sz w:val="20"/>
                <w:szCs w:val="20"/>
              </w:rPr>
            </w:pPr>
            <w:r>
              <w:rPr>
                <w:rFonts w:ascii="Calibri" w:hAnsi="Calibri" w:cs="Calibri"/>
                <w:color w:val="000000"/>
                <w:sz w:val="20"/>
                <w:szCs w:val="20"/>
                <w:lang w:val="sr-Latn-BA"/>
              </w:rPr>
              <w:t>8.840</w:t>
            </w:r>
          </w:p>
        </w:tc>
        <w:tc>
          <w:tcPr>
            <w:tcW w:w="1046" w:type="dxa"/>
            <w:tcBorders>
              <w:top w:val="nil"/>
              <w:left w:val="nil"/>
              <w:bottom w:val="nil"/>
              <w:right w:val="nil"/>
            </w:tcBorders>
            <w:shd w:val="clear" w:color="000000" w:fill="FFFFFF"/>
            <w:noWrap/>
            <w:vAlign w:val="center"/>
            <w:hideMark/>
          </w:tcPr>
          <w:p w:rsidR="00CE590E" w:rsidRDefault="00CE590E">
            <w:pPr>
              <w:jc w:val="right"/>
              <w:rPr>
                <w:rFonts w:ascii="Calibri" w:hAnsi="Calibri" w:cs="Calibri"/>
                <w:color w:val="000000"/>
                <w:sz w:val="20"/>
                <w:szCs w:val="20"/>
              </w:rPr>
            </w:pPr>
            <w:r>
              <w:rPr>
                <w:rFonts w:ascii="Calibri" w:hAnsi="Calibri" w:cs="Calibri"/>
                <w:color w:val="000000"/>
                <w:sz w:val="20"/>
                <w:szCs w:val="20"/>
                <w:lang w:val="sr-Latn-BA"/>
              </w:rPr>
              <w:t>0,89%</w:t>
            </w:r>
          </w:p>
        </w:tc>
        <w:tc>
          <w:tcPr>
            <w:tcW w:w="879" w:type="dxa"/>
            <w:tcBorders>
              <w:top w:val="nil"/>
              <w:left w:val="nil"/>
              <w:bottom w:val="nil"/>
              <w:right w:val="nil"/>
            </w:tcBorders>
            <w:shd w:val="clear" w:color="000000" w:fill="FFFFFF"/>
            <w:noWrap/>
            <w:vAlign w:val="center"/>
            <w:hideMark/>
          </w:tcPr>
          <w:p w:rsidR="00CE590E" w:rsidRDefault="00D4169F">
            <w:pPr>
              <w:jc w:val="right"/>
              <w:rPr>
                <w:rFonts w:ascii="Calibri" w:hAnsi="Calibri" w:cs="Calibri"/>
                <w:color w:val="000000"/>
                <w:sz w:val="20"/>
                <w:szCs w:val="20"/>
              </w:rPr>
            </w:pPr>
            <w:r>
              <w:rPr>
                <w:rFonts w:ascii="Calibri" w:hAnsi="Calibri" w:cs="Calibri"/>
                <w:color w:val="000000"/>
                <w:sz w:val="20"/>
                <w:szCs w:val="20"/>
                <w:lang w:val="sr-Latn-BA"/>
              </w:rPr>
              <w:t>0,46</w:t>
            </w:r>
            <w:r w:rsidR="00CE590E">
              <w:rPr>
                <w:rFonts w:ascii="Calibri" w:hAnsi="Calibri" w:cs="Calibri"/>
                <w:color w:val="000000"/>
                <w:sz w:val="20"/>
                <w:szCs w:val="20"/>
                <w:lang w:val="sr-Latn-BA"/>
              </w:rPr>
              <w:t>%</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lastRenderedPageBreak/>
              <w:t xml:space="preserve">Obveznice PPMK-O-F </w:t>
            </w:r>
          </w:p>
        </w:tc>
        <w:tc>
          <w:tcPr>
            <w:tcW w:w="1128" w:type="dxa"/>
            <w:tcBorders>
              <w:top w:val="nil"/>
              <w:left w:val="nil"/>
              <w:bottom w:val="nil"/>
              <w:right w:val="nil"/>
            </w:tcBorders>
            <w:shd w:val="clear" w:color="000000" w:fill="FFFFFF"/>
            <w:vAlign w:val="center"/>
            <w:hideMark/>
          </w:tcPr>
          <w:p w:rsidR="00CE590E" w:rsidRDefault="00D4169F">
            <w:pPr>
              <w:jc w:val="right"/>
              <w:rPr>
                <w:rFonts w:ascii="Calibri" w:hAnsi="Calibri" w:cs="Calibri"/>
                <w:color w:val="000000"/>
                <w:sz w:val="20"/>
                <w:szCs w:val="20"/>
              </w:rPr>
            </w:pPr>
            <w:r>
              <w:rPr>
                <w:rFonts w:ascii="Calibri" w:hAnsi="Calibri" w:cs="Calibri"/>
                <w:color w:val="000000"/>
                <w:sz w:val="20"/>
                <w:szCs w:val="20"/>
                <w:lang w:val="sr-Latn-BA"/>
              </w:rPr>
              <w:t>27.424</w:t>
            </w:r>
          </w:p>
        </w:tc>
        <w:tc>
          <w:tcPr>
            <w:tcW w:w="1046" w:type="dxa"/>
            <w:tcBorders>
              <w:top w:val="nil"/>
              <w:left w:val="nil"/>
              <w:bottom w:val="nil"/>
              <w:right w:val="nil"/>
            </w:tcBorders>
            <w:shd w:val="clear" w:color="000000" w:fill="FFFFFF"/>
            <w:noWrap/>
            <w:vAlign w:val="center"/>
            <w:hideMark/>
          </w:tcPr>
          <w:p w:rsidR="00CE590E" w:rsidRPr="00D4169F" w:rsidRDefault="00CE590E">
            <w:pPr>
              <w:jc w:val="right"/>
              <w:rPr>
                <w:rFonts w:ascii="Calibri" w:hAnsi="Calibri" w:cs="Calibri"/>
                <w:color w:val="000000"/>
                <w:sz w:val="20"/>
                <w:szCs w:val="20"/>
                <w:highlight w:val="yellow"/>
              </w:rPr>
            </w:pPr>
          </w:p>
        </w:tc>
        <w:tc>
          <w:tcPr>
            <w:tcW w:w="879" w:type="dxa"/>
            <w:tcBorders>
              <w:top w:val="nil"/>
              <w:left w:val="nil"/>
              <w:bottom w:val="nil"/>
              <w:right w:val="nil"/>
            </w:tcBorders>
            <w:shd w:val="clear" w:color="000000" w:fill="FFFFFF"/>
            <w:noWrap/>
            <w:vAlign w:val="center"/>
            <w:hideMark/>
          </w:tcPr>
          <w:p w:rsidR="00CE590E" w:rsidRDefault="00D4169F">
            <w:pPr>
              <w:jc w:val="right"/>
              <w:rPr>
                <w:rFonts w:ascii="Calibri" w:hAnsi="Calibri" w:cs="Calibri"/>
                <w:color w:val="000000"/>
                <w:sz w:val="20"/>
                <w:szCs w:val="20"/>
              </w:rPr>
            </w:pPr>
            <w:r>
              <w:rPr>
                <w:rFonts w:ascii="Calibri" w:hAnsi="Calibri" w:cs="Calibri"/>
                <w:color w:val="000000"/>
                <w:sz w:val="20"/>
                <w:szCs w:val="20"/>
                <w:lang w:val="sr-Latn-BA"/>
              </w:rPr>
              <w:t>1,43</w:t>
            </w:r>
            <w:r w:rsidR="00CE590E">
              <w:rPr>
                <w:rFonts w:ascii="Calibri" w:hAnsi="Calibri" w:cs="Calibri"/>
                <w:color w:val="000000"/>
                <w:sz w:val="20"/>
                <w:szCs w:val="20"/>
                <w:lang w:val="sr-Latn-BA"/>
              </w:rPr>
              <w:t>%</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t xml:space="preserve">Obveznice RSRS-O-M </w:t>
            </w:r>
          </w:p>
        </w:tc>
        <w:tc>
          <w:tcPr>
            <w:tcW w:w="1128" w:type="dxa"/>
            <w:tcBorders>
              <w:top w:val="nil"/>
              <w:left w:val="nil"/>
              <w:bottom w:val="nil"/>
              <w:right w:val="nil"/>
            </w:tcBorders>
            <w:shd w:val="clear" w:color="000000" w:fill="FFFFFF"/>
            <w:vAlign w:val="center"/>
            <w:hideMark/>
          </w:tcPr>
          <w:p w:rsidR="00CE590E" w:rsidRDefault="00D4169F" w:rsidP="002F747B">
            <w:pPr>
              <w:jc w:val="right"/>
              <w:rPr>
                <w:rFonts w:ascii="Calibri" w:hAnsi="Calibri" w:cs="Calibri"/>
                <w:color w:val="000000"/>
                <w:sz w:val="20"/>
                <w:szCs w:val="20"/>
              </w:rPr>
            </w:pPr>
            <w:r>
              <w:rPr>
                <w:rFonts w:ascii="Calibri" w:hAnsi="Calibri" w:cs="Calibri"/>
                <w:color w:val="000000"/>
                <w:sz w:val="20"/>
                <w:szCs w:val="20"/>
                <w:lang w:val="sr-Latn-BA"/>
              </w:rPr>
              <w:t>193.600</w:t>
            </w:r>
          </w:p>
        </w:tc>
        <w:tc>
          <w:tcPr>
            <w:tcW w:w="1046" w:type="dxa"/>
            <w:tcBorders>
              <w:top w:val="nil"/>
              <w:left w:val="nil"/>
              <w:bottom w:val="nil"/>
              <w:right w:val="nil"/>
            </w:tcBorders>
            <w:shd w:val="clear" w:color="000000" w:fill="FFFFFF"/>
            <w:noWrap/>
            <w:vAlign w:val="center"/>
            <w:hideMark/>
          </w:tcPr>
          <w:p w:rsidR="00CE590E" w:rsidRPr="00D4169F" w:rsidRDefault="00CE590E">
            <w:pPr>
              <w:jc w:val="right"/>
              <w:rPr>
                <w:rFonts w:ascii="Calibri" w:hAnsi="Calibri" w:cs="Calibri"/>
                <w:color w:val="000000"/>
                <w:sz w:val="20"/>
                <w:szCs w:val="20"/>
                <w:highlight w:val="yellow"/>
              </w:rPr>
            </w:pPr>
          </w:p>
        </w:tc>
        <w:tc>
          <w:tcPr>
            <w:tcW w:w="879" w:type="dxa"/>
            <w:tcBorders>
              <w:top w:val="nil"/>
              <w:left w:val="nil"/>
              <w:bottom w:val="nil"/>
              <w:right w:val="nil"/>
            </w:tcBorders>
            <w:shd w:val="clear" w:color="000000" w:fill="FFFFFF"/>
            <w:noWrap/>
            <w:vAlign w:val="center"/>
            <w:hideMark/>
          </w:tcPr>
          <w:p w:rsidR="00CE590E" w:rsidRDefault="00D4169F">
            <w:pPr>
              <w:jc w:val="right"/>
              <w:rPr>
                <w:rFonts w:ascii="Calibri" w:hAnsi="Calibri" w:cs="Calibri"/>
                <w:color w:val="000000"/>
                <w:sz w:val="20"/>
                <w:szCs w:val="20"/>
              </w:rPr>
            </w:pPr>
            <w:r>
              <w:rPr>
                <w:rFonts w:ascii="Calibri" w:hAnsi="Calibri" w:cs="Calibri"/>
                <w:color w:val="000000"/>
                <w:sz w:val="20"/>
                <w:szCs w:val="20"/>
                <w:lang w:val="sr-Latn-BA"/>
              </w:rPr>
              <w:t>10,1</w:t>
            </w:r>
            <w:r w:rsidR="002F747B">
              <w:rPr>
                <w:rFonts w:ascii="Calibri" w:hAnsi="Calibri" w:cs="Calibri"/>
                <w:color w:val="000000"/>
                <w:sz w:val="20"/>
                <w:szCs w:val="20"/>
                <w:lang w:val="sr-Latn-BA"/>
              </w:rPr>
              <w:t>0</w:t>
            </w:r>
            <w:r w:rsidR="00CE590E">
              <w:rPr>
                <w:rFonts w:ascii="Calibri" w:hAnsi="Calibri" w:cs="Calibri"/>
                <w:color w:val="000000"/>
                <w:sz w:val="20"/>
                <w:szCs w:val="20"/>
                <w:lang w:val="sr-Latn-BA"/>
              </w:rPr>
              <w:t>%</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b/>
                <w:bCs/>
                <w:color w:val="000000"/>
                <w:sz w:val="20"/>
                <w:szCs w:val="20"/>
              </w:rPr>
            </w:pPr>
          </w:p>
        </w:tc>
        <w:tc>
          <w:tcPr>
            <w:tcW w:w="1128" w:type="dxa"/>
            <w:vMerge w:val="restart"/>
            <w:tcBorders>
              <w:top w:val="nil"/>
              <w:left w:val="nil"/>
              <w:bottom w:val="double" w:sz="6" w:space="0" w:color="000000"/>
              <w:right w:val="nil"/>
            </w:tcBorders>
            <w:shd w:val="clear" w:color="000000" w:fill="FFFFFF"/>
            <w:noWrap/>
            <w:vAlign w:val="center"/>
            <w:hideMark/>
          </w:tcPr>
          <w:p w:rsidR="00CE590E" w:rsidRDefault="00D4169F">
            <w:pPr>
              <w:jc w:val="right"/>
              <w:rPr>
                <w:rFonts w:ascii="Calibri" w:hAnsi="Calibri" w:cs="Calibri"/>
                <w:color w:val="000000"/>
                <w:sz w:val="20"/>
                <w:szCs w:val="20"/>
              </w:rPr>
            </w:pPr>
            <w:r>
              <w:rPr>
                <w:rFonts w:ascii="Calibri" w:hAnsi="Calibri" w:cs="Calibri"/>
                <w:color w:val="000000"/>
                <w:sz w:val="20"/>
                <w:szCs w:val="20"/>
                <w:lang w:val="sr-Latn-BA"/>
              </w:rPr>
              <w:t>572.265</w:t>
            </w:r>
          </w:p>
        </w:tc>
        <w:tc>
          <w:tcPr>
            <w:tcW w:w="1046" w:type="dxa"/>
            <w:vMerge w:val="restart"/>
            <w:tcBorders>
              <w:top w:val="nil"/>
              <w:left w:val="nil"/>
              <w:bottom w:val="double" w:sz="6" w:space="0" w:color="000000"/>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t> </w:t>
            </w:r>
          </w:p>
        </w:tc>
        <w:tc>
          <w:tcPr>
            <w:tcW w:w="879" w:type="dxa"/>
            <w:vMerge w:val="restart"/>
            <w:tcBorders>
              <w:top w:val="nil"/>
              <w:left w:val="nil"/>
              <w:bottom w:val="double" w:sz="6" w:space="0" w:color="000000"/>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t> </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D4169F">
            <w:pPr>
              <w:rPr>
                <w:rFonts w:ascii="Calibri" w:hAnsi="Calibri" w:cs="Calibri"/>
                <w:b/>
                <w:bCs/>
                <w:color w:val="000000"/>
                <w:sz w:val="20"/>
                <w:szCs w:val="20"/>
              </w:rPr>
            </w:pPr>
            <w:r>
              <w:rPr>
                <w:rFonts w:ascii="Calibri" w:hAnsi="Calibri" w:cs="Calibri"/>
                <w:b/>
                <w:bCs/>
                <w:color w:val="000000"/>
                <w:sz w:val="20"/>
                <w:szCs w:val="20"/>
                <w:lang w:val="sr-Latn-BA"/>
              </w:rPr>
              <w:t> Stanje na dan  30.06</w:t>
            </w:r>
            <w:r w:rsidR="007C402E">
              <w:rPr>
                <w:rFonts w:ascii="Calibri" w:hAnsi="Calibri" w:cs="Calibri"/>
                <w:b/>
                <w:bCs/>
                <w:color w:val="000000"/>
                <w:sz w:val="20"/>
                <w:szCs w:val="20"/>
                <w:lang w:val="sr-Latn-BA"/>
              </w:rPr>
              <w:t>.2021</w:t>
            </w:r>
            <w:r w:rsidR="00CE590E">
              <w:rPr>
                <w:rFonts w:ascii="Calibri" w:hAnsi="Calibri" w:cs="Calibri"/>
                <w:b/>
                <w:bCs/>
                <w:color w:val="000000"/>
                <w:sz w:val="20"/>
                <w:szCs w:val="20"/>
                <w:lang w:val="sr-Latn-BA"/>
              </w:rPr>
              <w:t>.god.</w:t>
            </w:r>
          </w:p>
        </w:tc>
        <w:tc>
          <w:tcPr>
            <w:tcW w:w="1128"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c>
          <w:tcPr>
            <w:tcW w:w="1046"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c>
          <w:tcPr>
            <w:tcW w:w="879"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b/>
                <w:bCs/>
                <w:color w:val="000000"/>
                <w:sz w:val="20"/>
                <w:szCs w:val="20"/>
              </w:rPr>
            </w:pPr>
          </w:p>
        </w:tc>
        <w:tc>
          <w:tcPr>
            <w:tcW w:w="1128"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c>
          <w:tcPr>
            <w:tcW w:w="1046"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c>
          <w:tcPr>
            <w:tcW w:w="879"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r>
    </w:tbl>
    <w:p w:rsidR="00460B8C" w:rsidRDefault="00460B8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C7A67" w:rsidRDefault="00AC7A67" w:rsidP="00AC7A6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C7A67" w:rsidRDefault="00AC7A67" w:rsidP="00AC7A6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Najznačajnija ulaganja u HOV koje su raspoložive za prodaju na dan 31. d</w:t>
      </w:r>
      <w:r w:rsidR="002F747B">
        <w:rPr>
          <w:rFonts w:ascii="Calibri" w:hAnsi="Calibri" w:cs="Calibri"/>
          <w:noProof/>
          <w:lang w:val="sr-Latn-CS"/>
        </w:rPr>
        <w:t>ecembra 2020</w:t>
      </w:r>
      <w:r w:rsidRPr="00A47E7E">
        <w:rPr>
          <w:rFonts w:ascii="Calibri" w:hAnsi="Calibri" w:cs="Calibri"/>
          <w:noProof/>
          <w:lang w:val="sr-Latn-CS"/>
        </w:rPr>
        <w:t>. godine su:</w:t>
      </w:r>
    </w:p>
    <w:p w:rsidR="00AC7A67" w:rsidRDefault="00AC7A67" w:rsidP="00AC7A6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firstRow="1" w:lastRow="0" w:firstColumn="1" w:lastColumn="0" w:noHBand="0" w:noVBand="1"/>
      </w:tblPr>
      <w:tblGrid>
        <w:gridCol w:w="3640"/>
        <w:gridCol w:w="2180"/>
        <w:gridCol w:w="1400"/>
        <w:gridCol w:w="2000"/>
      </w:tblGrid>
      <w:tr w:rsidR="00AC7A67" w:rsidRPr="00AC7A67" w:rsidTr="009D6E96">
        <w:trPr>
          <w:trHeight w:val="772"/>
        </w:trPr>
        <w:tc>
          <w:tcPr>
            <w:tcW w:w="3640" w:type="dxa"/>
            <w:tcBorders>
              <w:top w:val="nil"/>
              <w:left w:val="nil"/>
              <w:bottom w:val="nil"/>
              <w:right w:val="nil"/>
            </w:tcBorders>
            <w:shd w:val="clear" w:color="000000" w:fill="FFFFFF"/>
            <w:noWrap/>
            <w:vAlign w:val="bottom"/>
            <w:hideMark/>
          </w:tcPr>
          <w:p w:rsidR="00AC7A67" w:rsidRPr="00AC7A67" w:rsidRDefault="00AC7A67" w:rsidP="009D6E96">
            <w:pPr>
              <w:rPr>
                <w:rFonts w:ascii="Calibri" w:hAnsi="Calibri"/>
                <w:i/>
                <w:color w:val="000000"/>
                <w:sz w:val="20"/>
                <w:szCs w:val="20"/>
                <w:lang w:val="sr-Latn-BA" w:eastAsia="sr-Latn-BA"/>
              </w:rPr>
            </w:pPr>
            <w:r w:rsidRPr="00AC7A67">
              <w:rPr>
                <w:rFonts w:ascii="Calibri" w:hAnsi="Calibri"/>
                <w:i/>
                <w:color w:val="000000"/>
                <w:sz w:val="20"/>
                <w:szCs w:val="20"/>
                <w:lang w:val="sr-Latn-BA" w:eastAsia="sr-Latn-BA"/>
              </w:rPr>
              <w:t> </w:t>
            </w:r>
          </w:p>
        </w:tc>
        <w:tc>
          <w:tcPr>
            <w:tcW w:w="2180" w:type="dxa"/>
            <w:tcBorders>
              <w:top w:val="single" w:sz="4" w:space="0" w:color="auto"/>
              <w:left w:val="nil"/>
              <w:bottom w:val="nil"/>
              <w:right w:val="nil"/>
            </w:tcBorders>
            <w:shd w:val="clear" w:color="000000" w:fill="FFFFFF"/>
            <w:vAlign w:val="center"/>
            <w:hideMark/>
          </w:tcPr>
          <w:p w:rsidR="00AC7A67" w:rsidRPr="00AC7A67" w:rsidRDefault="00AC7A67" w:rsidP="009D6E96">
            <w:pPr>
              <w:jc w:val="center"/>
              <w:rPr>
                <w:rFonts w:ascii="Calibri" w:hAnsi="Calibri"/>
                <w:b/>
                <w:bCs/>
                <w:i/>
                <w:color w:val="000000"/>
                <w:sz w:val="20"/>
                <w:szCs w:val="20"/>
                <w:lang w:val="sr-Latn-BA" w:eastAsia="sr-Latn-BA"/>
              </w:rPr>
            </w:pPr>
            <w:r w:rsidRPr="00AC7A67">
              <w:rPr>
                <w:rFonts w:ascii="Calibri" w:hAnsi="Calibri"/>
                <w:b/>
                <w:bCs/>
                <w:i/>
                <w:color w:val="000000"/>
                <w:sz w:val="20"/>
                <w:szCs w:val="20"/>
                <w:lang w:val="sr-Latn-BA" w:eastAsia="sr-Latn-BA"/>
              </w:rPr>
              <w:t>Fer vrijednost</w:t>
            </w:r>
          </w:p>
        </w:tc>
        <w:tc>
          <w:tcPr>
            <w:tcW w:w="1400" w:type="dxa"/>
            <w:tcBorders>
              <w:top w:val="single" w:sz="4" w:space="0" w:color="auto"/>
              <w:left w:val="nil"/>
              <w:bottom w:val="nil"/>
              <w:right w:val="nil"/>
            </w:tcBorders>
            <w:shd w:val="clear" w:color="000000" w:fill="FFFFFF"/>
            <w:vAlign w:val="center"/>
            <w:hideMark/>
          </w:tcPr>
          <w:p w:rsidR="00AC7A67" w:rsidRPr="00AC7A67" w:rsidRDefault="00AC7A67" w:rsidP="009D6E96">
            <w:pPr>
              <w:jc w:val="center"/>
              <w:rPr>
                <w:rFonts w:ascii="Calibri" w:hAnsi="Calibri"/>
                <w:b/>
                <w:bCs/>
                <w:i/>
                <w:color w:val="000000"/>
                <w:sz w:val="20"/>
                <w:szCs w:val="20"/>
                <w:lang w:val="sr-Latn-BA" w:eastAsia="sr-Latn-BA"/>
              </w:rPr>
            </w:pPr>
            <w:r w:rsidRPr="00AC7A67">
              <w:rPr>
                <w:rFonts w:ascii="Calibri" w:hAnsi="Calibri"/>
                <w:b/>
                <w:bCs/>
                <w:i/>
                <w:color w:val="000000"/>
                <w:sz w:val="20"/>
                <w:szCs w:val="20"/>
                <w:lang w:val="sr-Latn-BA" w:eastAsia="sr-Latn-BA"/>
              </w:rPr>
              <w:t xml:space="preserve">% vlasništva u kapitalu emitenta </w:t>
            </w:r>
          </w:p>
        </w:tc>
        <w:tc>
          <w:tcPr>
            <w:tcW w:w="2000" w:type="dxa"/>
            <w:tcBorders>
              <w:top w:val="single" w:sz="4" w:space="0" w:color="auto"/>
              <w:left w:val="nil"/>
              <w:bottom w:val="nil"/>
              <w:right w:val="nil"/>
            </w:tcBorders>
            <w:shd w:val="clear" w:color="000000" w:fill="FFFFFF"/>
            <w:vAlign w:val="center"/>
            <w:hideMark/>
          </w:tcPr>
          <w:p w:rsidR="00AC7A67" w:rsidRPr="00AC7A67" w:rsidRDefault="00AC7A67" w:rsidP="009D6E96">
            <w:pPr>
              <w:jc w:val="center"/>
              <w:rPr>
                <w:rFonts w:ascii="Calibri" w:hAnsi="Calibri"/>
                <w:b/>
                <w:bCs/>
                <w:i/>
                <w:color w:val="000000"/>
                <w:sz w:val="20"/>
                <w:szCs w:val="20"/>
                <w:lang w:val="sr-Latn-BA" w:eastAsia="sr-Latn-BA"/>
              </w:rPr>
            </w:pPr>
            <w:r w:rsidRPr="00AC7A67">
              <w:rPr>
                <w:rFonts w:ascii="Calibri" w:hAnsi="Calibri"/>
                <w:b/>
                <w:bCs/>
                <w:i/>
                <w:color w:val="000000"/>
                <w:sz w:val="20"/>
                <w:szCs w:val="20"/>
                <w:lang w:val="sr-Latn-BA" w:eastAsia="sr-Latn-BA"/>
              </w:rPr>
              <w:t>% ukupne imovine Fonda</w:t>
            </w:r>
          </w:p>
        </w:tc>
      </w:tr>
      <w:tr w:rsidR="00AC7A67" w:rsidRPr="00707478" w:rsidTr="009D6E96">
        <w:trPr>
          <w:trHeight w:val="405"/>
        </w:trPr>
        <w:tc>
          <w:tcPr>
            <w:tcW w:w="3640" w:type="dxa"/>
            <w:tcBorders>
              <w:top w:val="nil"/>
              <w:left w:val="nil"/>
              <w:bottom w:val="nil"/>
              <w:right w:val="nil"/>
            </w:tcBorders>
            <w:shd w:val="clear" w:color="000000" w:fill="FFFFFF"/>
            <w:noWrap/>
            <w:vAlign w:val="bottom"/>
            <w:hideMark/>
          </w:tcPr>
          <w:p w:rsidR="00AC7A67" w:rsidRPr="00707478" w:rsidRDefault="00AC7A67" w:rsidP="009D6E96">
            <w:pPr>
              <w:rPr>
                <w:rFonts w:ascii="Calibri" w:hAnsi="Calibri"/>
                <w:sz w:val="20"/>
                <w:szCs w:val="20"/>
                <w:lang w:val="sr-Latn-BA" w:eastAsia="sr-Latn-BA"/>
              </w:rPr>
            </w:pPr>
            <w:r>
              <w:rPr>
                <w:rFonts w:ascii="Calibri" w:hAnsi="Calibri"/>
                <w:sz w:val="20"/>
                <w:szCs w:val="20"/>
                <w:lang w:val="sr-Latn-BA" w:eastAsia="sr-Latn-BA"/>
              </w:rPr>
              <w:t xml:space="preserve">Sarajevo-gas ad, Sarajevo </w:t>
            </w:r>
            <w:r w:rsidRPr="00707478">
              <w:rPr>
                <w:rFonts w:ascii="Calibri" w:hAnsi="Calibri"/>
                <w:sz w:val="20"/>
                <w:szCs w:val="20"/>
                <w:lang w:val="sr-Latn-BA" w:eastAsia="sr-Latn-BA"/>
              </w:rPr>
              <w:t xml:space="preserve"> </w:t>
            </w:r>
          </w:p>
        </w:tc>
        <w:tc>
          <w:tcPr>
            <w:tcW w:w="2180" w:type="dxa"/>
            <w:tcBorders>
              <w:top w:val="nil"/>
              <w:left w:val="nil"/>
              <w:bottom w:val="nil"/>
              <w:right w:val="nil"/>
            </w:tcBorders>
            <w:shd w:val="clear" w:color="000000" w:fill="FFFFFF"/>
            <w:vAlign w:val="bottom"/>
            <w:hideMark/>
          </w:tcPr>
          <w:p w:rsidR="00AC7A67" w:rsidRPr="002F747B" w:rsidRDefault="002F747B" w:rsidP="009D6E96">
            <w:pPr>
              <w:jc w:val="right"/>
              <w:rPr>
                <w:rFonts w:ascii="Calibri" w:hAnsi="Calibri"/>
                <w:sz w:val="20"/>
                <w:szCs w:val="20"/>
                <w:lang w:val="sr-Latn-BA" w:eastAsia="sr-Latn-BA"/>
              </w:rPr>
            </w:pPr>
            <w:r w:rsidRPr="002F747B">
              <w:rPr>
                <w:rFonts w:ascii="Calibri" w:hAnsi="Calibri"/>
                <w:sz w:val="20"/>
                <w:szCs w:val="20"/>
                <w:lang w:val="sr-Latn-BA" w:eastAsia="sr-Latn-BA"/>
              </w:rPr>
              <w:t>199.576</w:t>
            </w:r>
          </w:p>
        </w:tc>
        <w:tc>
          <w:tcPr>
            <w:tcW w:w="1400" w:type="dxa"/>
            <w:tcBorders>
              <w:top w:val="nil"/>
              <w:left w:val="nil"/>
              <w:bottom w:val="nil"/>
              <w:right w:val="nil"/>
            </w:tcBorders>
            <w:shd w:val="clear" w:color="000000" w:fill="FFFFFF"/>
            <w:noWrap/>
            <w:vAlign w:val="bottom"/>
            <w:hideMark/>
          </w:tcPr>
          <w:p w:rsidR="00AC7A67" w:rsidRPr="002F747B" w:rsidRDefault="00AC7A67" w:rsidP="009D6E96">
            <w:pPr>
              <w:jc w:val="right"/>
              <w:rPr>
                <w:rFonts w:ascii="Calibri" w:hAnsi="Calibri"/>
                <w:sz w:val="20"/>
                <w:szCs w:val="20"/>
                <w:lang w:val="sr-Latn-BA" w:eastAsia="sr-Latn-BA"/>
              </w:rPr>
            </w:pPr>
            <w:r w:rsidRPr="002F747B">
              <w:rPr>
                <w:rFonts w:ascii="Calibri" w:hAnsi="Calibri"/>
                <w:sz w:val="20"/>
                <w:szCs w:val="20"/>
                <w:lang w:val="sr-Latn-BA" w:eastAsia="sr-Latn-BA"/>
              </w:rPr>
              <w:t>9,99%</w:t>
            </w:r>
          </w:p>
        </w:tc>
        <w:tc>
          <w:tcPr>
            <w:tcW w:w="2000" w:type="dxa"/>
            <w:tcBorders>
              <w:top w:val="nil"/>
              <w:left w:val="nil"/>
              <w:bottom w:val="nil"/>
              <w:right w:val="nil"/>
            </w:tcBorders>
            <w:shd w:val="clear" w:color="000000" w:fill="FFFFFF"/>
            <w:noWrap/>
            <w:vAlign w:val="bottom"/>
            <w:hideMark/>
          </w:tcPr>
          <w:p w:rsidR="00AC7A67" w:rsidRPr="00C442E1" w:rsidRDefault="002F747B" w:rsidP="009D6E96">
            <w:pPr>
              <w:jc w:val="right"/>
              <w:rPr>
                <w:rFonts w:ascii="Calibri" w:hAnsi="Calibri"/>
                <w:sz w:val="20"/>
                <w:szCs w:val="20"/>
                <w:lang w:val="sr-Latn-BA" w:eastAsia="sr-Latn-BA"/>
              </w:rPr>
            </w:pPr>
            <w:r w:rsidRPr="00C442E1">
              <w:rPr>
                <w:rFonts w:ascii="Calibri" w:hAnsi="Calibri"/>
                <w:sz w:val="20"/>
                <w:szCs w:val="20"/>
                <w:lang w:val="sr-Latn-BA" w:eastAsia="sr-Latn-BA"/>
              </w:rPr>
              <w:t>6,93</w:t>
            </w:r>
            <w:r w:rsidR="00AC7A67" w:rsidRPr="00C442E1">
              <w:rPr>
                <w:rFonts w:ascii="Calibri" w:hAnsi="Calibri"/>
                <w:sz w:val="20"/>
                <w:szCs w:val="20"/>
                <w:lang w:val="sr-Latn-BA" w:eastAsia="sr-Latn-BA"/>
              </w:rPr>
              <w:t>%</w:t>
            </w:r>
          </w:p>
        </w:tc>
      </w:tr>
      <w:tr w:rsidR="00AC7A67" w:rsidRPr="00707478" w:rsidTr="009D6E96">
        <w:trPr>
          <w:trHeight w:val="345"/>
        </w:trPr>
        <w:tc>
          <w:tcPr>
            <w:tcW w:w="3640" w:type="dxa"/>
            <w:tcBorders>
              <w:top w:val="nil"/>
              <w:left w:val="nil"/>
              <w:bottom w:val="nil"/>
              <w:right w:val="nil"/>
            </w:tcBorders>
            <w:shd w:val="clear" w:color="000000" w:fill="FFFFFF"/>
            <w:noWrap/>
            <w:vAlign w:val="bottom"/>
            <w:hideMark/>
          </w:tcPr>
          <w:p w:rsidR="00AC7A67" w:rsidRPr="00707478" w:rsidRDefault="00AC7A67" w:rsidP="009D6E96">
            <w:pPr>
              <w:rPr>
                <w:rFonts w:ascii="Calibri" w:hAnsi="Calibri"/>
                <w:sz w:val="20"/>
                <w:szCs w:val="20"/>
                <w:lang w:val="sr-Latn-BA" w:eastAsia="sr-Latn-BA"/>
              </w:rPr>
            </w:pPr>
            <w:r>
              <w:rPr>
                <w:rFonts w:ascii="Calibri" w:hAnsi="Calibri"/>
                <w:sz w:val="20"/>
                <w:szCs w:val="20"/>
                <w:lang w:val="sr-Latn-BA" w:eastAsia="sr-Latn-BA"/>
              </w:rPr>
              <w:t xml:space="preserve">Dobojinvest ad, Doboj </w:t>
            </w:r>
          </w:p>
        </w:tc>
        <w:tc>
          <w:tcPr>
            <w:tcW w:w="2180" w:type="dxa"/>
            <w:tcBorders>
              <w:top w:val="nil"/>
              <w:left w:val="nil"/>
              <w:bottom w:val="nil"/>
              <w:right w:val="nil"/>
            </w:tcBorders>
            <w:shd w:val="clear" w:color="000000" w:fill="FFFFFF"/>
            <w:vAlign w:val="bottom"/>
            <w:hideMark/>
          </w:tcPr>
          <w:p w:rsidR="00AC7A67" w:rsidRPr="002F747B" w:rsidRDefault="002F747B" w:rsidP="009D6E96">
            <w:pPr>
              <w:jc w:val="right"/>
              <w:rPr>
                <w:rFonts w:ascii="Calibri" w:hAnsi="Calibri"/>
                <w:sz w:val="20"/>
                <w:szCs w:val="20"/>
                <w:lang w:val="sr-Latn-BA" w:eastAsia="sr-Latn-BA"/>
              </w:rPr>
            </w:pPr>
            <w:r w:rsidRPr="002F747B">
              <w:rPr>
                <w:rFonts w:ascii="Calibri" w:hAnsi="Calibri"/>
                <w:sz w:val="20"/>
                <w:szCs w:val="20"/>
                <w:lang w:val="sr-Latn-BA" w:eastAsia="sr-Latn-BA"/>
              </w:rPr>
              <w:t>14.690</w:t>
            </w:r>
          </w:p>
        </w:tc>
        <w:tc>
          <w:tcPr>
            <w:tcW w:w="1400" w:type="dxa"/>
            <w:tcBorders>
              <w:top w:val="nil"/>
              <w:left w:val="nil"/>
              <w:bottom w:val="nil"/>
              <w:right w:val="nil"/>
            </w:tcBorders>
            <w:shd w:val="clear" w:color="000000" w:fill="FFFFFF"/>
            <w:noWrap/>
            <w:vAlign w:val="bottom"/>
            <w:hideMark/>
          </w:tcPr>
          <w:p w:rsidR="00AC7A67" w:rsidRPr="002F747B" w:rsidRDefault="00AC7A67" w:rsidP="009D6E96">
            <w:pPr>
              <w:jc w:val="right"/>
              <w:rPr>
                <w:rFonts w:ascii="Calibri" w:hAnsi="Calibri"/>
                <w:sz w:val="20"/>
                <w:szCs w:val="20"/>
                <w:lang w:val="sr-Latn-BA" w:eastAsia="sr-Latn-BA"/>
              </w:rPr>
            </w:pPr>
            <w:r w:rsidRPr="002F747B">
              <w:rPr>
                <w:rFonts w:ascii="Calibri" w:hAnsi="Calibri"/>
                <w:sz w:val="20"/>
                <w:szCs w:val="20"/>
                <w:lang w:val="sr-Latn-BA" w:eastAsia="sr-Latn-BA"/>
              </w:rPr>
              <w:t>9,29%</w:t>
            </w:r>
          </w:p>
        </w:tc>
        <w:tc>
          <w:tcPr>
            <w:tcW w:w="2000" w:type="dxa"/>
            <w:tcBorders>
              <w:top w:val="nil"/>
              <w:left w:val="nil"/>
              <w:bottom w:val="nil"/>
              <w:right w:val="nil"/>
            </w:tcBorders>
            <w:shd w:val="clear" w:color="000000" w:fill="FFFFFF"/>
            <w:noWrap/>
            <w:vAlign w:val="bottom"/>
            <w:hideMark/>
          </w:tcPr>
          <w:p w:rsidR="00AC7A67" w:rsidRPr="00C442E1" w:rsidRDefault="002F747B" w:rsidP="009D6E96">
            <w:pPr>
              <w:jc w:val="right"/>
              <w:rPr>
                <w:rFonts w:ascii="Calibri" w:hAnsi="Calibri"/>
                <w:sz w:val="20"/>
                <w:szCs w:val="20"/>
                <w:lang w:val="sr-Latn-BA" w:eastAsia="sr-Latn-BA"/>
              </w:rPr>
            </w:pPr>
            <w:r w:rsidRPr="00C442E1">
              <w:rPr>
                <w:rFonts w:ascii="Calibri" w:hAnsi="Calibri"/>
                <w:sz w:val="20"/>
                <w:szCs w:val="20"/>
                <w:lang w:val="sr-Latn-BA" w:eastAsia="sr-Latn-BA"/>
              </w:rPr>
              <w:t>0,51</w:t>
            </w:r>
            <w:r w:rsidR="00AC7A67" w:rsidRPr="00C442E1">
              <w:rPr>
                <w:rFonts w:ascii="Calibri" w:hAnsi="Calibri"/>
                <w:sz w:val="20"/>
                <w:szCs w:val="20"/>
                <w:lang w:val="sr-Latn-BA" w:eastAsia="sr-Latn-BA"/>
              </w:rPr>
              <w:t>%</w:t>
            </w:r>
          </w:p>
        </w:tc>
      </w:tr>
      <w:tr w:rsidR="00AC7A67" w:rsidRPr="00707478" w:rsidTr="009D6E96">
        <w:trPr>
          <w:trHeight w:val="318"/>
        </w:trPr>
        <w:tc>
          <w:tcPr>
            <w:tcW w:w="3640" w:type="dxa"/>
            <w:tcBorders>
              <w:top w:val="nil"/>
              <w:left w:val="nil"/>
              <w:bottom w:val="nil"/>
              <w:right w:val="nil"/>
            </w:tcBorders>
            <w:shd w:val="clear" w:color="000000" w:fill="FFFFFF"/>
            <w:noWrap/>
            <w:vAlign w:val="bottom"/>
            <w:hideMark/>
          </w:tcPr>
          <w:p w:rsidR="00AC7A67" w:rsidRPr="004410D1" w:rsidRDefault="00AC7A67" w:rsidP="009D6E96">
            <w:pPr>
              <w:rPr>
                <w:rFonts w:ascii="Calibri" w:hAnsi="Calibri"/>
                <w:sz w:val="20"/>
                <w:szCs w:val="20"/>
                <w:lang w:val="sr-Latn-BA" w:eastAsia="sr-Latn-BA"/>
              </w:rPr>
            </w:pPr>
            <w:r>
              <w:rPr>
                <w:rFonts w:ascii="Calibri" w:hAnsi="Calibri"/>
                <w:sz w:val="20"/>
                <w:szCs w:val="20"/>
                <w:lang w:val="sr-Latn-BA" w:eastAsia="sr-Latn-BA"/>
              </w:rPr>
              <w:t xml:space="preserve">Duvan ad, Bijeljina </w:t>
            </w:r>
            <w:r w:rsidRPr="004410D1">
              <w:rPr>
                <w:rFonts w:ascii="Calibri" w:hAnsi="Calibri"/>
                <w:sz w:val="20"/>
                <w:szCs w:val="20"/>
                <w:lang w:val="sr-Latn-BA" w:eastAsia="sr-Latn-BA"/>
              </w:rPr>
              <w:t xml:space="preserve"> </w:t>
            </w:r>
          </w:p>
        </w:tc>
        <w:tc>
          <w:tcPr>
            <w:tcW w:w="2180" w:type="dxa"/>
            <w:tcBorders>
              <w:top w:val="nil"/>
              <w:left w:val="nil"/>
              <w:bottom w:val="nil"/>
              <w:right w:val="nil"/>
            </w:tcBorders>
            <w:shd w:val="clear" w:color="000000" w:fill="FFFFFF"/>
            <w:vAlign w:val="bottom"/>
            <w:hideMark/>
          </w:tcPr>
          <w:p w:rsidR="00AC7A67" w:rsidRPr="002F747B" w:rsidRDefault="007253F5" w:rsidP="009D6E96">
            <w:pPr>
              <w:jc w:val="right"/>
              <w:rPr>
                <w:rFonts w:ascii="Calibri" w:hAnsi="Calibri"/>
                <w:sz w:val="20"/>
                <w:szCs w:val="20"/>
                <w:lang w:val="sr-Latn-BA" w:eastAsia="sr-Latn-BA"/>
              </w:rPr>
            </w:pPr>
            <w:r w:rsidRPr="002F747B">
              <w:rPr>
                <w:rFonts w:ascii="Calibri" w:hAnsi="Calibri"/>
                <w:sz w:val="20"/>
                <w:szCs w:val="20"/>
                <w:lang w:val="sr-Latn-BA" w:eastAsia="sr-Latn-BA"/>
              </w:rPr>
              <w:t>8.840</w:t>
            </w:r>
          </w:p>
        </w:tc>
        <w:tc>
          <w:tcPr>
            <w:tcW w:w="1400" w:type="dxa"/>
            <w:tcBorders>
              <w:top w:val="nil"/>
              <w:left w:val="nil"/>
              <w:bottom w:val="nil"/>
              <w:right w:val="nil"/>
            </w:tcBorders>
            <w:shd w:val="clear" w:color="000000" w:fill="FFFFFF"/>
            <w:noWrap/>
            <w:vAlign w:val="bottom"/>
            <w:hideMark/>
          </w:tcPr>
          <w:p w:rsidR="00AC7A67" w:rsidRPr="002F747B" w:rsidRDefault="00AC7A67" w:rsidP="009D6E96">
            <w:pPr>
              <w:jc w:val="right"/>
              <w:rPr>
                <w:rFonts w:ascii="Calibri" w:hAnsi="Calibri"/>
                <w:sz w:val="20"/>
                <w:szCs w:val="20"/>
                <w:lang w:val="sr-Latn-BA" w:eastAsia="sr-Latn-BA"/>
              </w:rPr>
            </w:pPr>
            <w:r w:rsidRPr="002F747B">
              <w:rPr>
                <w:rFonts w:ascii="Calibri" w:hAnsi="Calibri"/>
                <w:sz w:val="20"/>
                <w:szCs w:val="20"/>
                <w:lang w:val="sr-Latn-BA" w:eastAsia="sr-Latn-BA"/>
              </w:rPr>
              <w:t>0,89%</w:t>
            </w:r>
          </w:p>
        </w:tc>
        <w:tc>
          <w:tcPr>
            <w:tcW w:w="2000" w:type="dxa"/>
            <w:tcBorders>
              <w:top w:val="nil"/>
              <w:left w:val="nil"/>
              <w:bottom w:val="nil"/>
              <w:right w:val="nil"/>
            </w:tcBorders>
            <w:shd w:val="clear" w:color="000000" w:fill="FFFFFF"/>
            <w:noWrap/>
            <w:vAlign w:val="bottom"/>
            <w:hideMark/>
          </w:tcPr>
          <w:p w:rsidR="00AC7A67" w:rsidRPr="00C442E1" w:rsidRDefault="00AC7A67" w:rsidP="002F747B">
            <w:pPr>
              <w:jc w:val="right"/>
              <w:rPr>
                <w:rFonts w:ascii="Calibri" w:hAnsi="Calibri"/>
                <w:sz w:val="20"/>
                <w:szCs w:val="20"/>
                <w:lang w:val="sr-Latn-BA" w:eastAsia="sr-Latn-BA"/>
              </w:rPr>
            </w:pPr>
            <w:r w:rsidRPr="00C442E1">
              <w:rPr>
                <w:rFonts w:ascii="Calibri" w:hAnsi="Calibri"/>
                <w:sz w:val="20"/>
                <w:szCs w:val="20"/>
                <w:lang w:val="sr-Latn-BA" w:eastAsia="sr-Latn-BA"/>
              </w:rPr>
              <w:t>0,</w:t>
            </w:r>
            <w:r w:rsidR="002F747B" w:rsidRPr="00C442E1">
              <w:rPr>
                <w:rFonts w:ascii="Calibri" w:hAnsi="Calibri"/>
                <w:sz w:val="20"/>
                <w:szCs w:val="20"/>
                <w:lang w:val="sr-Latn-BA" w:eastAsia="sr-Latn-BA"/>
              </w:rPr>
              <w:t>31</w:t>
            </w:r>
            <w:r w:rsidRPr="00C442E1">
              <w:rPr>
                <w:rFonts w:ascii="Calibri" w:hAnsi="Calibri"/>
                <w:sz w:val="20"/>
                <w:szCs w:val="20"/>
                <w:lang w:val="sr-Latn-BA" w:eastAsia="sr-Latn-BA"/>
              </w:rPr>
              <w:t>%</w:t>
            </w:r>
          </w:p>
        </w:tc>
      </w:tr>
      <w:tr w:rsidR="00AC7A67" w:rsidRPr="00707478" w:rsidTr="009D6E96">
        <w:trPr>
          <w:trHeight w:val="345"/>
        </w:trPr>
        <w:tc>
          <w:tcPr>
            <w:tcW w:w="3640" w:type="dxa"/>
            <w:tcBorders>
              <w:top w:val="nil"/>
              <w:left w:val="nil"/>
              <w:bottom w:val="nil"/>
              <w:right w:val="nil"/>
            </w:tcBorders>
            <w:shd w:val="clear" w:color="000000" w:fill="FFFFFF"/>
            <w:noWrap/>
            <w:vAlign w:val="bottom"/>
            <w:hideMark/>
          </w:tcPr>
          <w:p w:rsidR="00AC7A67" w:rsidRPr="00707478" w:rsidRDefault="00AC7A67" w:rsidP="009D6E96">
            <w:pPr>
              <w:rPr>
                <w:rFonts w:ascii="Calibri" w:hAnsi="Calibri"/>
                <w:sz w:val="20"/>
                <w:szCs w:val="20"/>
                <w:lang w:val="sr-Latn-BA" w:eastAsia="sr-Latn-BA"/>
              </w:rPr>
            </w:pPr>
            <w:r>
              <w:rPr>
                <w:rFonts w:ascii="Calibri" w:hAnsi="Calibri"/>
                <w:sz w:val="20"/>
                <w:szCs w:val="20"/>
                <w:lang w:val="sr-Latn-BA" w:eastAsia="sr-Latn-BA"/>
              </w:rPr>
              <w:t xml:space="preserve">Obveznice PPMK-O-F </w:t>
            </w:r>
          </w:p>
        </w:tc>
        <w:tc>
          <w:tcPr>
            <w:tcW w:w="2180" w:type="dxa"/>
            <w:tcBorders>
              <w:top w:val="nil"/>
              <w:left w:val="nil"/>
              <w:bottom w:val="nil"/>
              <w:right w:val="nil"/>
            </w:tcBorders>
            <w:shd w:val="clear" w:color="000000" w:fill="FFFFFF"/>
            <w:vAlign w:val="bottom"/>
            <w:hideMark/>
          </w:tcPr>
          <w:p w:rsidR="00AC7A67" w:rsidRPr="002F747B" w:rsidRDefault="002F747B" w:rsidP="009D6E96">
            <w:pPr>
              <w:jc w:val="right"/>
              <w:rPr>
                <w:rFonts w:ascii="Calibri" w:hAnsi="Calibri"/>
                <w:sz w:val="20"/>
                <w:szCs w:val="20"/>
                <w:lang w:val="sr-Latn-BA" w:eastAsia="sr-Latn-BA"/>
              </w:rPr>
            </w:pPr>
            <w:r w:rsidRPr="002F747B">
              <w:rPr>
                <w:rFonts w:ascii="Calibri" w:hAnsi="Calibri"/>
                <w:sz w:val="20"/>
                <w:szCs w:val="20"/>
                <w:lang w:val="sr-Latn-BA" w:eastAsia="sr-Latn-BA"/>
              </w:rPr>
              <w:t>33.552</w:t>
            </w:r>
          </w:p>
        </w:tc>
        <w:tc>
          <w:tcPr>
            <w:tcW w:w="1400" w:type="dxa"/>
            <w:tcBorders>
              <w:top w:val="nil"/>
              <w:left w:val="nil"/>
              <w:bottom w:val="nil"/>
              <w:right w:val="nil"/>
            </w:tcBorders>
            <w:shd w:val="clear" w:color="000000" w:fill="FFFFFF"/>
            <w:noWrap/>
            <w:vAlign w:val="bottom"/>
            <w:hideMark/>
          </w:tcPr>
          <w:p w:rsidR="00AC7A67" w:rsidRPr="002F747B" w:rsidRDefault="00AC7A67" w:rsidP="009D6E96">
            <w:pPr>
              <w:jc w:val="right"/>
              <w:rPr>
                <w:rFonts w:ascii="Calibri" w:hAnsi="Calibri"/>
                <w:sz w:val="20"/>
                <w:szCs w:val="20"/>
                <w:lang w:val="sr-Latn-BA" w:eastAsia="sr-Latn-BA"/>
              </w:rPr>
            </w:pPr>
            <w:r w:rsidRPr="002F747B">
              <w:rPr>
                <w:rFonts w:ascii="Calibri" w:hAnsi="Calibri"/>
                <w:sz w:val="20"/>
                <w:szCs w:val="20"/>
                <w:lang w:val="sr-Latn-BA" w:eastAsia="sr-Latn-BA"/>
              </w:rPr>
              <w:t>3,33%</w:t>
            </w:r>
          </w:p>
        </w:tc>
        <w:tc>
          <w:tcPr>
            <w:tcW w:w="2000" w:type="dxa"/>
            <w:tcBorders>
              <w:top w:val="nil"/>
              <w:left w:val="nil"/>
              <w:bottom w:val="nil"/>
              <w:right w:val="nil"/>
            </w:tcBorders>
            <w:shd w:val="clear" w:color="000000" w:fill="FFFFFF"/>
            <w:noWrap/>
            <w:vAlign w:val="bottom"/>
            <w:hideMark/>
          </w:tcPr>
          <w:p w:rsidR="00AC7A67" w:rsidRPr="00C442E1" w:rsidRDefault="002F747B" w:rsidP="009D6E96">
            <w:pPr>
              <w:jc w:val="right"/>
              <w:rPr>
                <w:rFonts w:ascii="Calibri" w:hAnsi="Calibri"/>
                <w:sz w:val="20"/>
                <w:szCs w:val="20"/>
                <w:lang w:val="sr-Latn-BA" w:eastAsia="sr-Latn-BA"/>
              </w:rPr>
            </w:pPr>
            <w:r w:rsidRPr="00C442E1">
              <w:rPr>
                <w:rFonts w:ascii="Calibri" w:hAnsi="Calibri"/>
                <w:sz w:val="20"/>
                <w:szCs w:val="20"/>
                <w:lang w:val="sr-Latn-BA" w:eastAsia="sr-Latn-BA"/>
              </w:rPr>
              <w:t>1,17</w:t>
            </w:r>
            <w:r w:rsidR="00AC7A67" w:rsidRPr="00C442E1">
              <w:rPr>
                <w:rFonts w:ascii="Calibri" w:hAnsi="Calibri"/>
                <w:sz w:val="20"/>
                <w:szCs w:val="20"/>
                <w:lang w:val="sr-Latn-BA" w:eastAsia="sr-Latn-BA"/>
              </w:rPr>
              <w:t>%</w:t>
            </w:r>
          </w:p>
        </w:tc>
      </w:tr>
      <w:tr w:rsidR="00AC7A67" w:rsidRPr="00707478" w:rsidTr="009D6E96">
        <w:trPr>
          <w:trHeight w:val="345"/>
        </w:trPr>
        <w:tc>
          <w:tcPr>
            <w:tcW w:w="3640" w:type="dxa"/>
            <w:tcBorders>
              <w:top w:val="nil"/>
              <w:left w:val="nil"/>
              <w:bottom w:val="nil"/>
              <w:right w:val="nil"/>
            </w:tcBorders>
            <w:shd w:val="clear" w:color="000000" w:fill="FFFFFF"/>
            <w:noWrap/>
            <w:vAlign w:val="bottom"/>
            <w:hideMark/>
          </w:tcPr>
          <w:p w:rsidR="00AC7A67" w:rsidRPr="00707478" w:rsidRDefault="00AC7A67" w:rsidP="009D6E96">
            <w:pPr>
              <w:rPr>
                <w:rFonts w:ascii="Calibri" w:hAnsi="Calibri"/>
                <w:sz w:val="20"/>
                <w:szCs w:val="20"/>
                <w:lang w:val="sr-Latn-BA" w:eastAsia="sr-Latn-BA"/>
              </w:rPr>
            </w:pPr>
            <w:r>
              <w:rPr>
                <w:rFonts w:ascii="Calibri" w:hAnsi="Calibri"/>
                <w:sz w:val="20"/>
                <w:szCs w:val="20"/>
                <w:lang w:val="sr-Latn-BA" w:eastAsia="sr-Latn-BA"/>
              </w:rPr>
              <w:t xml:space="preserve">Obveznice RSRS-O-M </w:t>
            </w:r>
          </w:p>
        </w:tc>
        <w:tc>
          <w:tcPr>
            <w:tcW w:w="2180" w:type="dxa"/>
            <w:tcBorders>
              <w:top w:val="nil"/>
              <w:left w:val="nil"/>
              <w:bottom w:val="nil"/>
              <w:right w:val="nil"/>
            </w:tcBorders>
            <w:shd w:val="clear" w:color="000000" w:fill="FFFFFF"/>
            <w:vAlign w:val="bottom"/>
            <w:hideMark/>
          </w:tcPr>
          <w:p w:rsidR="00AC7A67" w:rsidRPr="002F747B" w:rsidRDefault="002F747B" w:rsidP="009D6E96">
            <w:pPr>
              <w:jc w:val="right"/>
              <w:rPr>
                <w:rFonts w:ascii="Calibri" w:hAnsi="Calibri"/>
                <w:sz w:val="20"/>
                <w:szCs w:val="20"/>
                <w:lang w:val="sr-Latn-BA" w:eastAsia="sr-Latn-BA"/>
              </w:rPr>
            </w:pPr>
            <w:r w:rsidRPr="002F747B">
              <w:rPr>
                <w:rFonts w:ascii="Calibri" w:hAnsi="Calibri"/>
                <w:sz w:val="20"/>
                <w:szCs w:val="20"/>
                <w:lang w:val="sr-Latn-BA" w:eastAsia="sr-Latn-BA"/>
              </w:rPr>
              <w:t>349.609</w:t>
            </w:r>
          </w:p>
        </w:tc>
        <w:tc>
          <w:tcPr>
            <w:tcW w:w="1400" w:type="dxa"/>
            <w:tcBorders>
              <w:top w:val="nil"/>
              <w:left w:val="nil"/>
              <w:bottom w:val="nil"/>
              <w:right w:val="nil"/>
            </w:tcBorders>
            <w:shd w:val="clear" w:color="000000" w:fill="FFFFFF"/>
            <w:noWrap/>
            <w:vAlign w:val="bottom"/>
            <w:hideMark/>
          </w:tcPr>
          <w:p w:rsidR="00AC7A67" w:rsidRPr="002F747B" w:rsidRDefault="002F747B" w:rsidP="009D6E96">
            <w:pPr>
              <w:jc w:val="right"/>
              <w:rPr>
                <w:rFonts w:ascii="Calibri" w:hAnsi="Calibri"/>
                <w:sz w:val="20"/>
                <w:szCs w:val="20"/>
                <w:lang w:val="sr-Latn-BA" w:eastAsia="sr-Latn-BA"/>
              </w:rPr>
            </w:pPr>
            <w:r w:rsidRPr="002F747B">
              <w:rPr>
                <w:rFonts w:ascii="Calibri" w:hAnsi="Calibri"/>
                <w:sz w:val="20"/>
                <w:szCs w:val="20"/>
                <w:lang w:val="sr-Latn-BA" w:eastAsia="sr-Latn-BA"/>
              </w:rPr>
              <w:t>2,43</w:t>
            </w:r>
            <w:r w:rsidR="00AC7A67" w:rsidRPr="002F747B">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AC7A67" w:rsidRPr="00C442E1" w:rsidRDefault="00C442E1" w:rsidP="009D6E96">
            <w:pPr>
              <w:jc w:val="right"/>
              <w:rPr>
                <w:rFonts w:ascii="Calibri" w:hAnsi="Calibri"/>
                <w:sz w:val="20"/>
                <w:szCs w:val="20"/>
                <w:lang w:val="sr-Latn-BA" w:eastAsia="sr-Latn-BA"/>
              </w:rPr>
            </w:pPr>
            <w:r w:rsidRPr="00C442E1">
              <w:rPr>
                <w:rFonts w:ascii="Calibri" w:hAnsi="Calibri"/>
                <w:sz w:val="20"/>
                <w:szCs w:val="20"/>
                <w:lang w:val="sr-Latn-BA" w:eastAsia="sr-Latn-BA"/>
              </w:rPr>
              <w:t>1</w:t>
            </w:r>
            <w:r>
              <w:rPr>
                <w:rFonts w:ascii="Calibri" w:hAnsi="Calibri"/>
                <w:sz w:val="20"/>
                <w:szCs w:val="20"/>
                <w:lang w:val="sr-Latn-BA" w:eastAsia="sr-Latn-BA"/>
              </w:rPr>
              <w:t>2,41</w:t>
            </w:r>
            <w:r w:rsidRPr="00C442E1">
              <w:rPr>
                <w:rFonts w:ascii="Calibri" w:hAnsi="Calibri"/>
                <w:sz w:val="20"/>
                <w:szCs w:val="20"/>
                <w:lang w:val="sr-Latn-BA" w:eastAsia="sr-Latn-BA"/>
              </w:rPr>
              <w:t>%</w:t>
            </w:r>
          </w:p>
        </w:tc>
      </w:tr>
      <w:tr w:rsidR="00AC7A67" w:rsidRPr="00707478" w:rsidTr="009D6E96">
        <w:trPr>
          <w:trHeight w:val="326"/>
        </w:trPr>
        <w:tc>
          <w:tcPr>
            <w:tcW w:w="3640" w:type="dxa"/>
            <w:tcBorders>
              <w:top w:val="nil"/>
              <w:left w:val="nil"/>
              <w:bottom w:val="nil"/>
              <w:right w:val="nil"/>
            </w:tcBorders>
            <w:shd w:val="clear" w:color="000000" w:fill="FFFFFF"/>
            <w:noWrap/>
            <w:vAlign w:val="bottom"/>
            <w:hideMark/>
          </w:tcPr>
          <w:p w:rsidR="00AC7A67" w:rsidRDefault="00AC7A67" w:rsidP="009D6E96">
            <w:pPr>
              <w:rPr>
                <w:rFonts w:ascii="Calibri" w:hAnsi="Calibri"/>
                <w:b/>
                <w:bCs/>
                <w:sz w:val="20"/>
                <w:szCs w:val="20"/>
                <w:lang w:val="sr-Latn-BA" w:eastAsia="sr-Latn-BA"/>
              </w:rPr>
            </w:pPr>
          </w:p>
          <w:p w:rsidR="00AC7A67" w:rsidRDefault="00AC7A67" w:rsidP="009D6E96">
            <w:pPr>
              <w:rPr>
                <w:rFonts w:ascii="Calibri" w:hAnsi="Calibri"/>
                <w:b/>
                <w:bCs/>
                <w:sz w:val="20"/>
                <w:szCs w:val="20"/>
                <w:lang w:val="sr-Latn-BA" w:eastAsia="sr-Latn-BA"/>
              </w:rPr>
            </w:pPr>
          </w:p>
          <w:p w:rsidR="00AC7A67" w:rsidRDefault="00AC7A67" w:rsidP="009D6E96">
            <w:pPr>
              <w:rPr>
                <w:rFonts w:ascii="Calibri" w:hAnsi="Calibri"/>
                <w:b/>
                <w:bCs/>
                <w:sz w:val="20"/>
                <w:szCs w:val="20"/>
                <w:lang w:val="sr-Latn-BA" w:eastAsia="sr-Latn-BA"/>
              </w:rPr>
            </w:pPr>
          </w:p>
          <w:p w:rsidR="00AC7A67" w:rsidRDefault="00AC7A67" w:rsidP="009D6E96">
            <w:pPr>
              <w:rPr>
                <w:rFonts w:ascii="Calibri" w:hAnsi="Calibri"/>
                <w:b/>
                <w:bCs/>
                <w:sz w:val="20"/>
                <w:szCs w:val="20"/>
                <w:lang w:val="sr-Latn-BA" w:eastAsia="sr-Latn-BA"/>
              </w:rPr>
            </w:pPr>
          </w:p>
          <w:p w:rsidR="00AC7A67" w:rsidRPr="00707478" w:rsidRDefault="00AC7A67" w:rsidP="009D6E96">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sidR="002F747B">
              <w:rPr>
                <w:rFonts w:ascii="Calibri" w:hAnsi="Calibri"/>
                <w:b/>
                <w:bCs/>
                <w:sz w:val="20"/>
                <w:szCs w:val="20"/>
                <w:lang w:val="sr-Latn-BA" w:eastAsia="sr-Latn-BA"/>
              </w:rPr>
              <w:t>. decembra 2020</w:t>
            </w:r>
            <w:r w:rsidRPr="00707478">
              <w:rPr>
                <w:rFonts w:ascii="Calibri" w:hAnsi="Calibri"/>
                <w:b/>
                <w:bCs/>
                <w:sz w:val="20"/>
                <w:szCs w:val="20"/>
                <w:lang w:val="sr-Latn-BA" w:eastAsia="sr-Latn-BA"/>
              </w:rPr>
              <w:t>.</w:t>
            </w:r>
          </w:p>
        </w:tc>
        <w:tc>
          <w:tcPr>
            <w:tcW w:w="2180" w:type="dxa"/>
            <w:tcBorders>
              <w:top w:val="nil"/>
              <w:left w:val="nil"/>
              <w:bottom w:val="double" w:sz="6" w:space="0" w:color="auto"/>
              <w:right w:val="nil"/>
            </w:tcBorders>
            <w:shd w:val="clear" w:color="000000" w:fill="FFFFFF"/>
            <w:noWrap/>
            <w:vAlign w:val="bottom"/>
            <w:hideMark/>
          </w:tcPr>
          <w:p w:rsidR="00AC7A67" w:rsidRPr="00707478" w:rsidRDefault="002F747B" w:rsidP="009D6E96">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606.267</w:t>
            </w:r>
            <w:r w:rsidR="00AC7A67" w:rsidRPr="00707478">
              <w:rPr>
                <w:rFonts w:ascii="Calibri" w:hAnsi="Calibri"/>
                <w:color w:val="000000"/>
                <w:sz w:val="20"/>
                <w:szCs w:val="20"/>
                <w:lang w:val="sr-Latn-BA" w:eastAsia="sr-Latn-BA"/>
              </w:rPr>
              <w:t xml:space="preserve"> </w:t>
            </w:r>
          </w:p>
        </w:tc>
        <w:tc>
          <w:tcPr>
            <w:tcW w:w="1400" w:type="dxa"/>
            <w:tcBorders>
              <w:top w:val="nil"/>
              <w:left w:val="nil"/>
              <w:bottom w:val="double" w:sz="6" w:space="0" w:color="auto"/>
              <w:right w:val="nil"/>
            </w:tcBorders>
            <w:shd w:val="clear" w:color="000000" w:fill="FFFFFF"/>
            <w:noWrap/>
            <w:vAlign w:val="bottom"/>
            <w:hideMark/>
          </w:tcPr>
          <w:p w:rsidR="00AC7A67" w:rsidRPr="00707478" w:rsidRDefault="00AC7A67" w:rsidP="009D6E96">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nil"/>
              <w:left w:val="nil"/>
              <w:bottom w:val="double" w:sz="6" w:space="0" w:color="auto"/>
              <w:right w:val="nil"/>
            </w:tcBorders>
            <w:shd w:val="clear" w:color="000000" w:fill="FFFFFF"/>
            <w:noWrap/>
            <w:vAlign w:val="bottom"/>
            <w:hideMark/>
          </w:tcPr>
          <w:p w:rsidR="00AC7A67" w:rsidRPr="00707478" w:rsidRDefault="00AC7A67" w:rsidP="009D6E96">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5" w:name="_Toc64534453"/>
      <w:r w:rsidRPr="00A47E7E">
        <w:rPr>
          <w:rFonts w:ascii="Calibri" w:hAnsi="Calibri" w:cs="Calibri"/>
          <w:noProof/>
          <w:sz w:val="24"/>
          <w:szCs w:val="24"/>
        </w:rPr>
        <w:t>DEPOZITI I PLASMANI</w:t>
      </w:r>
      <w:bookmarkEnd w:id="25"/>
    </w:p>
    <w:tbl>
      <w:tblPr>
        <w:tblW w:w="9000" w:type="dxa"/>
        <w:tblInd w:w="99" w:type="dxa"/>
        <w:tblLook w:val="04A0" w:firstRow="1" w:lastRow="0" w:firstColumn="1" w:lastColumn="0" w:noHBand="0" w:noVBand="1"/>
      </w:tblPr>
      <w:tblGrid>
        <w:gridCol w:w="4600"/>
        <w:gridCol w:w="2360"/>
        <w:gridCol w:w="2040"/>
      </w:tblGrid>
      <w:tr w:rsidR="00C03459" w:rsidRPr="000E3CC9" w:rsidTr="000E3CC9">
        <w:trPr>
          <w:trHeight w:val="310"/>
        </w:trPr>
        <w:tc>
          <w:tcPr>
            <w:tcW w:w="4600" w:type="dxa"/>
            <w:tcBorders>
              <w:top w:val="nil"/>
              <w:left w:val="nil"/>
              <w:bottom w:val="nil"/>
              <w:right w:val="nil"/>
            </w:tcBorders>
            <w:shd w:val="clear" w:color="000000" w:fill="FFFFFF"/>
            <w:noWrap/>
            <w:vAlign w:val="bottom"/>
            <w:hideMark/>
          </w:tcPr>
          <w:p w:rsidR="00C03459" w:rsidRPr="000E3CC9" w:rsidRDefault="00C03459" w:rsidP="0078483D">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C03459" w:rsidRPr="000E3CC9" w:rsidRDefault="00C03459" w:rsidP="0078483D">
            <w:pPr>
              <w:jc w:val="center"/>
              <w:rPr>
                <w:rFonts w:ascii="Calibri" w:hAnsi="Calibri"/>
                <w:b/>
                <w:bCs/>
                <w:color w:val="000000"/>
                <w:lang w:val="sr-Latn-BA" w:eastAsia="sr-Latn-BA"/>
              </w:rPr>
            </w:pPr>
            <w:r>
              <w:rPr>
                <w:rFonts w:ascii="Calibri" w:hAnsi="Calibri"/>
                <w:b/>
                <w:bCs/>
                <w:color w:val="000000"/>
                <w:lang w:val="sr-Latn-BA" w:eastAsia="sr-Latn-BA"/>
              </w:rPr>
              <w:t>20</w:t>
            </w:r>
            <w:r w:rsidR="007F4407">
              <w:rPr>
                <w:rFonts w:ascii="Calibri" w:hAnsi="Calibri"/>
                <w:b/>
                <w:bCs/>
                <w:color w:val="000000"/>
                <w:lang w:val="sr-Latn-BA" w:eastAsia="sr-Latn-BA"/>
              </w:rPr>
              <w:t>2</w:t>
            </w:r>
            <w:r w:rsidR="002F747B">
              <w:rPr>
                <w:rFonts w:ascii="Calibri" w:hAnsi="Calibri"/>
                <w:b/>
                <w:bCs/>
                <w:color w:val="000000"/>
                <w:lang w:val="sr-Latn-BA" w:eastAsia="sr-Latn-BA"/>
              </w:rPr>
              <w:t>1</w:t>
            </w:r>
          </w:p>
        </w:tc>
        <w:tc>
          <w:tcPr>
            <w:tcW w:w="2040" w:type="dxa"/>
            <w:tcBorders>
              <w:top w:val="nil"/>
              <w:left w:val="nil"/>
              <w:bottom w:val="nil"/>
              <w:right w:val="nil"/>
            </w:tcBorders>
            <w:shd w:val="clear" w:color="000000" w:fill="FFFFFF"/>
            <w:noWrap/>
            <w:vAlign w:val="bottom"/>
            <w:hideMark/>
          </w:tcPr>
          <w:p w:rsidR="00C03459" w:rsidRPr="000E3CC9" w:rsidRDefault="00C03459" w:rsidP="0078483D">
            <w:pPr>
              <w:jc w:val="center"/>
              <w:rPr>
                <w:rFonts w:ascii="Calibri" w:hAnsi="Calibri"/>
                <w:b/>
                <w:bCs/>
                <w:color w:val="000000"/>
                <w:lang w:val="sr-Latn-BA" w:eastAsia="sr-Latn-BA"/>
              </w:rPr>
            </w:pPr>
            <w:r>
              <w:rPr>
                <w:rFonts w:ascii="Calibri" w:hAnsi="Calibri"/>
                <w:b/>
                <w:bCs/>
                <w:color w:val="000000"/>
                <w:lang w:val="sr-Latn-BA" w:eastAsia="sr-Latn-BA"/>
              </w:rPr>
              <w:t>20</w:t>
            </w:r>
            <w:r w:rsidR="002F747B">
              <w:rPr>
                <w:rFonts w:ascii="Calibri" w:hAnsi="Calibri"/>
                <w:b/>
                <w:bCs/>
                <w:color w:val="000000"/>
                <w:lang w:val="sr-Latn-BA" w:eastAsia="sr-Latn-BA"/>
              </w:rPr>
              <w:t>20</w:t>
            </w:r>
          </w:p>
        </w:tc>
      </w:tr>
      <w:tr w:rsidR="00C03459" w:rsidRPr="000E3CC9" w:rsidTr="0078483D">
        <w:trPr>
          <w:trHeight w:val="310"/>
        </w:trPr>
        <w:tc>
          <w:tcPr>
            <w:tcW w:w="4600" w:type="dxa"/>
            <w:tcBorders>
              <w:top w:val="nil"/>
              <w:left w:val="nil"/>
              <w:bottom w:val="nil"/>
              <w:right w:val="nil"/>
            </w:tcBorders>
            <w:shd w:val="clear" w:color="000000" w:fill="FFFFFF"/>
            <w:noWrap/>
            <w:vAlign w:val="bottom"/>
            <w:hideMark/>
          </w:tcPr>
          <w:p w:rsidR="00C03459" w:rsidRPr="000E3CC9" w:rsidRDefault="00C03459" w:rsidP="0078483D">
            <w:pPr>
              <w:rPr>
                <w:rFonts w:ascii="Calibri" w:hAnsi="Calibri"/>
                <w:color w:val="000000"/>
                <w:lang w:val="sr-Latn-BA" w:eastAsia="sr-Latn-BA"/>
              </w:rPr>
            </w:pPr>
            <w:r>
              <w:rPr>
                <w:rFonts w:ascii="Calibri" w:hAnsi="Calibri"/>
                <w:color w:val="000000"/>
                <w:lang w:val="sr-Latn-BA" w:eastAsia="sr-Latn-BA"/>
              </w:rPr>
              <w:t>Intesasanpaolo bank dd, Sarajevo</w:t>
            </w:r>
          </w:p>
        </w:tc>
        <w:tc>
          <w:tcPr>
            <w:tcW w:w="2360" w:type="dxa"/>
            <w:tcBorders>
              <w:top w:val="nil"/>
              <w:left w:val="nil"/>
              <w:bottom w:val="nil"/>
              <w:right w:val="nil"/>
            </w:tcBorders>
            <w:shd w:val="clear" w:color="000000" w:fill="FFFFFF"/>
            <w:noWrap/>
            <w:vAlign w:val="bottom"/>
            <w:hideMark/>
          </w:tcPr>
          <w:p w:rsidR="00C03459" w:rsidRPr="00E530E7" w:rsidRDefault="004D72DC" w:rsidP="0078483D">
            <w:pPr>
              <w:jc w:val="right"/>
              <w:rPr>
                <w:rFonts w:ascii="Calibri" w:hAnsi="Calibri"/>
                <w:color w:val="000000"/>
                <w:lang w:val="sr-Latn-BA" w:eastAsia="sr-Latn-BA"/>
              </w:rPr>
            </w:pPr>
            <w:r>
              <w:rPr>
                <w:rFonts w:ascii="Calibri" w:hAnsi="Calibri"/>
                <w:color w:val="000000"/>
                <w:lang w:val="sr-Latn-BA" w:eastAsia="sr-Latn-BA"/>
              </w:rPr>
              <w:t>0</w:t>
            </w:r>
            <w:r w:rsidR="00C03459"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C03459" w:rsidRPr="000E3CC9" w:rsidRDefault="002D6A6A" w:rsidP="0078483D">
            <w:pPr>
              <w:jc w:val="right"/>
              <w:rPr>
                <w:rFonts w:ascii="Calibri" w:hAnsi="Calibri"/>
                <w:color w:val="000000"/>
                <w:lang w:val="sr-Latn-BA" w:eastAsia="sr-Latn-BA"/>
              </w:rPr>
            </w:pPr>
            <w:r>
              <w:rPr>
                <w:rFonts w:ascii="Calibri" w:hAnsi="Calibri"/>
                <w:color w:val="000000"/>
                <w:lang w:val="sr-Latn-BA" w:eastAsia="sr-Latn-BA"/>
              </w:rPr>
              <w:t>770.000</w:t>
            </w:r>
            <w:r w:rsidRPr="00E530E7">
              <w:rPr>
                <w:rFonts w:ascii="Calibri" w:hAnsi="Calibri"/>
                <w:color w:val="000000"/>
                <w:lang w:val="sr-Latn-BA" w:eastAsia="sr-Latn-BA"/>
              </w:rPr>
              <w:t xml:space="preserve">    </w:t>
            </w:r>
            <w:r w:rsidR="00C03459" w:rsidRPr="000E3CC9">
              <w:rPr>
                <w:rFonts w:ascii="Calibri" w:hAnsi="Calibri"/>
                <w:color w:val="000000"/>
                <w:lang w:val="sr-Latn-BA" w:eastAsia="sr-Latn-BA"/>
              </w:rPr>
              <w:t xml:space="preserve">    </w:t>
            </w:r>
          </w:p>
        </w:tc>
      </w:tr>
      <w:tr w:rsidR="00C03459" w:rsidRPr="000E3CC9" w:rsidTr="0078483D">
        <w:trPr>
          <w:trHeight w:val="310"/>
        </w:trPr>
        <w:tc>
          <w:tcPr>
            <w:tcW w:w="4600" w:type="dxa"/>
            <w:tcBorders>
              <w:top w:val="nil"/>
              <w:left w:val="nil"/>
              <w:bottom w:val="nil"/>
              <w:right w:val="nil"/>
            </w:tcBorders>
            <w:shd w:val="clear" w:color="000000" w:fill="FFFFFF"/>
            <w:noWrap/>
            <w:vAlign w:val="bottom"/>
            <w:hideMark/>
          </w:tcPr>
          <w:p w:rsidR="00C03459" w:rsidRPr="000E3CC9" w:rsidRDefault="00C03459" w:rsidP="0078483D">
            <w:pPr>
              <w:rPr>
                <w:rFonts w:ascii="Calibri" w:hAnsi="Calibri"/>
                <w:color w:val="000000"/>
                <w:lang w:val="sr-Latn-BA" w:eastAsia="sr-Latn-BA"/>
              </w:rPr>
            </w:pPr>
            <w:r>
              <w:rPr>
                <w:rFonts w:ascii="Calibri" w:hAnsi="Calibri"/>
                <w:color w:val="000000"/>
                <w:lang w:val="sr-Latn-BA" w:eastAsia="sr-Latn-BA"/>
              </w:rPr>
              <w:t xml:space="preserve">Unicredit bank ad, Banja Luka </w:t>
            </w:r>
          </w:p>
        </w:tc>
        <w:tc>
          <w:tcPr>
            <w:tcW w:w="2360" w:type="dxa"/>
            <w:tcBorders>
              <w:top w:val="nil"/>
              <w:left w:val="nil"/>
              <w:bottom w:val="nil"/>
              <w:right w:val="nil"/>
            </w:tcBorders>
            <w:shd w:val="clear" w:color="000000" w:fill="FFFFFF"/>
            <w:noWrap/>
            <w:vAlign w:val="bottom"/>
            <w:hideMark/>
          </w:tcPr>
          <w:p w:rsidR="00C03459" w:rsidRPr="00E530E7" w:rsidRDefault="00E10B0A" w:rsidP="0078483D">
            <w:pPr>
              <w:jc w:val="right"/>
              <w:rPr>
                <w:rFonts w:ascii="Calibri" w:hAnsi="Calibri"/>
                <w:color w:val="000000"/>
                <w:lang w:val="sr-Latn-BA" w:eastAsia="sr-Latn-BA"/>
              </w:rPr>
            </w:pPr>
            <w:r>
              <w:rPr>
                <w:rFonts w:ascii="Calibri" w:hAnsi="Calibri"/>
                <w:color w:val="000000"/>
                <w:lang w:val="sr-Latn-BA" w:eastAsia="sr-Latn-BA"/>
              </w:rPr>
              <w:t>370.000</w:t>
            </w:r>
            <w:r w:rsidR="00C03459"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C03459" w:rsidRPr="000E3CC9" w:rsidRDefault="002D6A6A" w:rsidP="0078483D">
            <w:pPr>
              <w:jc w:val="right"/>
              <w:rPr>
                <w:rFonts w:ascii="Calibri" w:hAnsi="Calibri"/>
                <w:color w:val="000000"/>
                <w:lang w:val="sr-Latn-BA" w:eastAsia="sr-Latn-BA"/>
              </w:rPr>
            </w:pPr>
            <w:r>
              <w:rPr>
                <w:rFonts w:ascii="Calibri" w:hAnsi="Calibri"/>
                <w:color w:val="000000"/>
                <w:lang w:val="sr-Latn-BA" w:eastAsia="sr-Latn-BA"/>
              </w:rPr>
              <w:t>770.000</w:t>
            </w:r>
            <w:r w:rsidRPr="00E530E7">
              <w:rPr>
                <w:rFonts w:ascii="Calibri" w:hAnsi="Calibri"/>
                <w:color w:val="000000"/>
                <w:lang w:val="sr-Latn-BA" w:eastAsia="sr-Latn-BA"/>
              </w:rPr>
              <w:t xml:space="preserve">    </w:t>
            </w:r>
            <w:r w:rsidR="00C03459" w:rsidRPr="000E3CC9">
              <w:rPr>
                <w:rFonts w:ascii="Calibri" w:hAnsi="Calibri"/>
                <w:color w:val="000000"/>
                <w:lang w:val="sr-Latn-BA" w:eastAsia="sr-Latn-BA"/>
              </w:rPr>
              <w:t xml:space="preserve">    </w:t>
            </w:r>
          </w:p>
        </w:tc>
      </w:tr>
      <w:tr w:rsidR="00C03459" w:rsidRPr="000E3CC9" w:rsidTr="0078483D">
        <w:trPr>
          <w:trHeight w:val="310"/>
        </w:trPr>
        <w:tc>
          <w:tcPr>
            <w:tcW w:w="4600" w:type="dxa"/>
            <w:tcBorders>
              <w:top w:val="nil"/>
              <w:left w:val="nil"/>
              <w:bottom w:val="nil"/>
              <w:right w:val="nil"/>
            </w:tcBorders>
            <w:shd w:val="clear" w:color="000000" w:fill="FFFFFF"/>
            <w:noWrap/>
            <w:vAlign w:val="bottom"/>
            <w:hideMark/>
          </w:tcPr>
          <w:p w:rsidR="00C03459" w:rsidRPr="000E3CC9" w:rsidRDefault="00C03459" w:rsidP="0078483D">
            <w:pPr>
              <w:rPr>
                <w:rFonts w:ascii="Calibri" w:hAnsi="Calibri"/>
                <w:color w:val="000000"/>
                <w:lang w:val="sr-Latn-BA" w:eastAsia="sr-Latn-BA"/>
              </w:rPr>
            </w:pPr>
            <w:r>
              <w:rPr>
                <w:rFonts w:ascii="Calibri" w:hAnsi="Calibri"/>
                <w:color w:val="000000"/>
                <w:lang w:val="sr-Latn-BA" w:eastAsia="sr-Latn-BA"/>
              </w:rPr>
              <w:t xml:space="preserve">Sparkasse bank dd BiH, Sarajevo  </w:t>
            </w:r>
          </w:p>
        </w:tc>
        <w:tc>
          <w:tcPr>
            <w:tcW w:w="2360" w:type="dxa"/>
            <w:tcBorders>
              <w:top w:val="nil"/>
              <w:left w:val="nil"/>
              <w:bottom w:val="nil"/>
              <w:right w:val="nil"/>
            </w:tcBorders>
            <w:shd w:val="clear" w:color="000000" w:fill="FFFFFF"/>
            <w:noWrap/>
            <w:vAlign w:val="bottom"/>
            <w:hideMark/>
          </w:tcPr>
          <w:p w:rsidR="00C03459" w:rsidRPr="00E530E7" w:rsidRDefault="004D72DC" w:rsidP="0078483D">
            <w:pPr>
              <w:jc w:val="right"/>
              <w:rPr>
                <w:rFonts w:ascii="Calibri" w:hAnsi="Calibri"/>
                <w:color w:val="000000"/>
                <w:lang w:val="sr-Latn-BA" w:eastAsia="sr-Latn-BA"/>
              </w:rPr>
            </w:pPr>
            <w:r>
              <w:rPr>
                <w:rFonts w:ascii="Calibri" w:hAnsi="Calibri"/>
                <w:color w:val="000000"/>
                <w:lang w:val="sr-Latn-BA" w:eastAsia="sr-Latn-BA"/>
              </w:rPr>
              <w:t>0</w:t>
            </w:r>
            <w:r w:rsidR="00C03459"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C03459" w:rsidRPr="000E3CC9" w:rsidRDefault="00B00F21" w:rsidP="0078483D">
            <w:pPr>
              <w:jc w:val="right"/>
              <w:rPr>
                <w:rFonts w:ascii="Calibri" w:hAnsi="Calibri"/>
                <w:color w:val="000000"/>
                <w:lang w:val="sr-Latn-BA" w:eastAsia="sr-Latn-BA"/>
              </w:rPr>
            </w:pPr>
            <w:r>
              <w:rPr>
                <w:rFonts w:ascii="Calibri" w:hAnsi="Calibri"/>
                <w:color w:val="000000"/>
                <w:lang w:val="sr-Latn-BA" w:eastAsia="sr-Latn-BA"/>
              </w:rPr>
              <w:t>770</w:t>
            </w:r>
            <w:r w:rsidR="002D6A6A" w:rsidRPr="00E530E7">
              <w:rPr>
                <w:rFonts w:ascii="Calibri" w:hAnsi="Calibri"/>
                <w:color w:val="000000"/>
                <w:lang w:val="sr-Latn-BA" w:eastAsia="sr-Latn-BA"/>
              </w:rPr>
              <w:t>.00</w:t>
            </w:r>
            <w:r w:rsidR="002D6A6A">
              <w:rPr>
                <w:rFonts w:ascii="Calibri" w:hAnsi="Calibri"/>
                <w:color w:val="000000"/>
                <w:lang w:val="sr-Latn-BA" w:eastAsia="sr-Latn-BA"/>
              </w:rPr>
              <w:t>0</w:t>
            </w:r>
            <w:r w:rsidR="002D6A6A" w:rsidRPr="00E530E7">
              <w:rPr>
                <w:rFonts w:ascii="Calibri" w:hAnsi="Calibri"/>
                <w:color w:val="000000"/>
                <w:lang w:val="sr-Latn-BA" w:eastAsia="sr-Latn-BA"/>
              </w:rPr>
              <w:t xml:space="preserve">    </w:t>
            </w:r>
            <w:r w:rsidR="00C03459" w:rsidRPr="000E3CC9">
              <w:rPr>
                <w:rFonts w:ascii="Calibri" w:hAnsi="Calibri"/>
                <w:color w:val="000000"/>
                <w:lang w:val="sr-Latn-BA" w:eastAsia="sr-Latn-BA"/>
              </w:rPr>
              <w:t xml:space="preserve">    </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1537DC" w:rsidP="001537DC">
            <w:pPr>
              <w:rPr>
                <w:rFonts w:ascii="Calibri" w:hAnsi="Calibri"/>
                <w:color w:val="000000"/>
                <w:lang w:val="sr-Latn-BA" w:eastAsia="sr-Latn-BA"/>
              </w:rPr>
            </w:pPr>
            <w:r>
              <w:rPr>
                <w:rFonts w:ascii="Calibri" w:hAnsi="Calibri"/>
                <w:color w:val="000000"/>
                <w:lang w:val="sr-Latn-BA" w:eastAsia="sr-Latn-BA"/>
              </w:rPr>
              <w:t xml:space="preserve">Komercijalna banka ad, Banja Luka  </w:t>
            </w:r>
            <w:r w:rsidR="000E3CC9"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1537DC" w:rsidP="004D72DC">
            <w:pPr>
              <w:jc w:val="right"/>
              <w:rPr>
                <w:rFonts w:ascii="Calibri" w:hAnsi="Calibri"/>
                <w:b/>
                <w:bCs/>
                <w:color w:val="000000"/>
                <w:lang w:val="sr-Latn-BA" w:eastAsia="sr-Latn-BA"/>
              </w:rPr>
            </w:pPr>
            <w:r>
              <w:rPr>
                <w:rFonts w:ascii="Calibri" w:hAnsi="Calibri"/>
                <w:b/>
                <w:bCs/>
                <w:color w:val="000000"/>
                <w:lang w:val="sr-Latn-BA" w:eastAsia="sr-Latn-BA"/>
              </w:rPr>
              <w:t xml:space="preserve">                       </w:t>
            </w:r>
            <w:r w:rsidR="000E3CC9" w:rsidRPr="000E3CC9">
              <w:rPr>
                <w:rFonts w:ascii="Calibri" w:hAnsi="Calibri"/>
                <w:b/>
                <w:bCs/>
                <w:color w:val="000000"/>
                <w:lang w:val="sr-Latn-BA" w:eastAsia="sr-Latn-BA"/>
              </w:rPr>
              <w:t> </w:t>
            </w:r>
            <w:r w:rsidR="004D72DC">
              <w:rPr>
                <w:rFonts w:ascii="Calibri" w:hAnsi="Calibri"/>
                <w:color w:val="000000"/>
                <w:lang w:val="sr-Latn-BA" w:eastAsia="sr-Latn-BA"/>
              </w:rPr>
              <w:t>0</w:t>
            </w:r>
            <w:r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0E3CC9" w:rsidRPr="003E222A" w:rsidRDefault="000E3CC9" w:rsidP="001537DC">
            <w:pPr>
              <w:jc w:val="right"/>
              <w:rPr>
                <w:rFonts w:ascii="Calibri" w:hAnsi="Calibri"/>
                <w:bCs/>
                <w:color w:val="000000"/>
                <w:lang w:val="sr-Latn-BA" w:eastAsia="sr-Latn-BA"/>
              </w:rPr>
            </w:pPr>
            <w:r w:rsidRPr="000E3CC9">
              <w:rPr>
                <w:rFonts w:ascii="Calibri" w:hAnsi="Calibri"/>
                <w:b/>
                <w:bCs/>
                <w:color w:val="000000"/>
                <w:lang w:val="sr-Latn-BA" w:eastAsia="sr-Latn-BA"/>
              </w:rPr>
              <w:t> </w:t>
            </w:r>
            <w:r w:rsidR="00B00F21">
              <w:rPr>
                <w:rFonts w:ascii="Calibri" w:hAnsi="Calibri"/>
                <w:bCs/>
                <w:color w:val="000000"/>
                <w:lang w:val="sr-Latn-BA" w:eastAsia="sr-Latn-BA"/>
              </w:rPr>
              <w:t>770</w:t>
            </w:r>
            <w:r w:rsidR="003E222A" w:rsidRPr="003E222A">
              <w:rPr>
                <w:rFonts w:ascii="Calibri" w:hAnsi="Calibri"/>
                <w:bCs/>
                <w:color w:val="000000"/>
                <w:lang w:val="sr-Latn-BA" w:eastAsia="sr-Latn-BA"/>
              </w:rPr>
              <w:t>.000</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r w:rsidR="00E10B0A">
              <w:rPr>
                <w:rFonts w:ascii="Calibri" w:hAnsi="Calibri"/>
                <w:color w:val="000000"/>
                <w:lang w:val="sr-Latn-BA" w:eastAsia="sr-Latn-BA"/>
              </w:rPr>
              <w:t xml:space="preserve">MF banka , Banja Luka </w:t>
            </w:r>
          </w:p>
        </w:tc>
        <w:tc>
          <w:tcPr>
            <w:tcW w:w="2360" w:type="dxa"/>
            <w:tcBorders>
              <w:top w:val="nil"/>
              <w:left w:val="nil"/>
              <w:bottom w:val="nil"/>
              <w:right w:val="nil"/>
            </w:tcBorders>
            <w:shd w:val="clear" w:color="000000" w:fill="FFFFFF"/>
            <w:noWrap/>
            <w:vAlign w:val="bottom"/>
            <w:hideMark/>
          </w:tcPr>
          <w:p w:rsidR="000E3CC9" w:rsidRPr="00E10B0A" w:rsidRDefault="00E10B0A" w:rsidP="00E10B0A">
            <w:pPr>
              <w:jc w:val="right"/>
              <w:rPr>
                <w:rFonts w:ascii="Calibri" w:hAnsi="Calibri"/>
                <w:bCs/>
                <w:color w:val="000000"/>
                <w:lang w:val="sr-Latn-BA" w:eastAsia="sr-Latn-BA"/>
              </w:rPr>
            </w:pPr>
            <w:r w:rsidRPr="00E10B0A">
              <w:rPr>
                <w:rFonts w:ascii="Calibri" w:hAnsi="Calibri"/>
                <w:bCs/>
                <w:color w:val="000000"/>
                <w:lang w:val="sr-Latn-BA" w:eastAsia="sr-Latn-BA"/>
              </w:rPr>
              <w:t>370.000</w:t>
            </w:r>
            <w:r w:rsidR="000E3CC9" w:rsidRPr="00E10B0A">
              <w:rPr>
                <w:rFonts w:ascii="Calibri" w:hAnsi="Calibri"/>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817DD6">
            <w:pPr>
              <w:jc w:val="right"/>
              <w:rPr>
                <w:rFonts w:ascii="Calibri" w:hAnsi="Calibri"/>
                <w:color w:val="000000"/>
                <w:lang w:val="sr-Latn-BA" w:eastAsia="sr-Latn-BA"/>
              </w:rPr>
            </w:pPr>
            <w:r w:rsidRPr="000E3CC9">
              <w:rPr>
                <w:rFonts w:ascii="Calibri" w:hAnsi="Calibri"/>
                <w:color w:val="000000"/>
                <w:lang w:val="sr-Latn-BA" w:eastAsia="sr-Latn-BA"/>
              </w:rPr>
              <w:t> </w:t>
            </w:r>
            <w:r w:rsidR="00817DD6">
              <w:rPr>
                <w:rFonts w:ascii="Calibri" w:hAnsi="Calibri"/>
                <w:color w:val="000000"/>
                <w:lang w:val="sr-Latn-BA" w:eastAsia="sr-Latn-BA"/>
              </w:rPr>
              <w:t>0</w:t>
            </w:r>
          </w:p>
        </w:tc>
      </w:tr>
      <w:tr w:rsidR="00E10B0A" w:rsidRPr="000E3CC9" w:rsidTr="000E3CC9">
        <w:trPr>
          <w:trHeight w:val="310"/>
        </w:trPr>
        <w:tc>
          <w:tcPr>
            <w:tcW w:w="4600" w:type="dxa"/>
            <w:tcBorders>
              <w:top w:val="nil"/>
              <w:left w:val="nil"/>
              <w:bottom w:val="nil"/>
              <w:right w:val="nil"/>
            </w:tcBorders>
            <w:shd w:val="clear" w:color="000000" w:fill="FFFFFF"/>
            <w:noWrap/>
            <w:vAlign w:val="bottom"/>
          </w:tcPr>
          <w:p w:rsidR="00E10B0A" w:rsidRPr="000E3CC9" w:rsidRDefault="00E10B0A" w:rsidP="000E3CC9">
            <w:pPr>
              <w:rPr>
                <w:rFonts w:ascii="Calibri" w:hAnsi="Calibri"/>
                <w:color w:val="000000"/>
                <w:lang w:val="sr-Latn-BA" w:eastAsia="sr-Latn-BA"/>
              </w:rPr>
            </w:pPr>
          </w:p>
        </w:tc>
        <w:tc>
          <w:tcPr>
            <w:tcW w:w="2360" w:type="dxa"/>
            <w:tcBorders>
              <w:top w:val="nil"/>
              <w:left w:val="nil"/>
              <w:bottom w:val="nil"/>
              <w:right w:val="nil"/>
            </w:tcBorders>
            <w:shd w:val="clear" w:color="000000" w:fill="FFFFFF"/>
            <w:noWrap/>
            <w:vAlign w:val="bottom"/>
          </w:tcPr>
          <w:p w:rsidR="00E10B0A" w:rsidRPr="000E3CC9" w:rsidRDefault="00E10B0A" w:rsidP="000E3CC9">
            <w:pPr>
              <w:jc w:val="center"/>
              <w:rPr>
                <w:rFonts w:ascii="Calibri" w:hAnsi="Calibri"/>
                <w:b/>
                <w:bCs/>
                <w:color w:val="000000"/>
                <w:lang w:val="sr-Latn-BA" w:eastAsia="sr-Latn-BA"/>
              </w:rPr>
            </w:pPr>
          </w:p>
        </w:tc>
        <w:tc>
          <w:tcPr>
            <w:tcW w:w="2040" w:type="dxa"/>
            <w:tcBorders>
              <w:top w:val="nil"/>
              <w:left w:val="nil"/>
              <w:bottom w:val="nil"/>
              <w:right w:val="nil"/>
            </w:tcBorders>
            <w:shd w:val="clear" w:color="000000" w:fill="FFFFFF"/>
            <w:noWrap/>
            <w:vAlign w:val="bottom"/>
          </w:tcPr>
          <w:p w:rsidR="00E10B0A" w:rsidRPr="000E3CC9" w:rsidRDefault="00E10B0A" w:rsidP="000E3CC9">
            <w:pPr>
              <w:rPr>
                <w:rFonts w:ascii="Calibri" w:hAnsi="Calibri"/>
                <w:color w:val="000000"/>
                <w:lang w:val="sr-Latn-BA" w:eastAsia="sr-Latn-BA"/>
              </w:rPr>
            </w:pPr>
          </w:p>
        </w:tc>
      </w:tr>
      <w:tr w:rsidR="00D14AE6" w:rsidRPr="000E3CC9" w:rsidTr="000E3CC9">
        <w:trPr>
          <w:trHeight w:val="370"/>
        </w:trPr>
        <w:tc>
          <w:tcPr>
            <w:tcW w:w="4600" w:type="dxa"/>
            <w:tcBorders>
              <w:top w:val="nil"/>
              <w:left w:val="nil"/>
              <w:bottom w:val="nil"/>
              <w:right w:val="nil"/>
            </w:tcBorders>
            <w:shd w:val="clear" w:color="000000" w:fill="FFFFFF"/>
            <w:noWrap/>
            <w:vAlign w:val="bottom"/>
            <w:hideMark/>
          </w:tcPr>
          <w:p w:rsidR="00D14AE6" w:rsidRPr="008E402A" w:rsidRDefault="0066405C" w:rsidP="00E10B0A">
            <w:pPr>
              <w:rPr>
                <w:rFonts w:ascii="Calibri" w:hAnsi="Calibri"/>
                <w:b/>
                <w:bCs/>
                <w:color w:val="000000"/>
                <w:lang w:val="sr-Latn-BA" w:eastAsia="sr-Latn-BA"/>
              </w:rPr>
            </w:pPr>
            <w:r>
              <w:rPr>
                <w:rFonts w:ascii="Calibri" w:hAnsi="Calibri"/>
                <w:b/>
                <w:bCs/>
                <w:color w:val="000000"/>
                <w:lang w:val="sr-Latn-BA" w:eastAsia="sr-Latn-BA"/>
              </w:rPr>
              <w:t>Stanje na dan 3</w:t>
            </w:r>
            <w:r w:rsidR="00E10B0A">
              <w:rPr>
                <w:rFonts w:ascii="Calibri" w:hAnsi="Calibri"/>
                <w:b/>
                <w:bCs/>
                <w:color w:val="000000"/>
                <w:lang w:val="sr-Latn-BA" w:eastAsia="sr-Latn-BA"/>
              </w:rPr>
              <w:t>0</w:t>
            </w:r>
            <w:r w:rsidR="00D14AE6" w:rsidRPr="008E402A">
              <w:rPr>
                <w:rFonts w:ascii="Calibri" w:hAnsi="Calibri"/>
                <w:b/>
                <w:bCs/>
                <w:color w:val="000000"/>
                <w:lang w:val="sr-Latn-BA" w:eastAsia="sr-Latn-BA"/>
              </w:rPr>
              <w:t xml:space="preserve">. </w:t>
            </w:r>
            <w:r w:rsidR="00E10B0A">
              <w:rPr>
                <w:rFonts w:ascii="Calibri" w:hAnsi="Calibri"/>
                <w:b/>
                <w:bCs/>
                <w:color w:val="000000"/>
                <w:lang w:val="sr-Latn-BA" w:eastAsia="sr-Latn-BA"/>
              </w:rPr>
              <w:t>jun</w:t>
            </w:r>
            <w:r w:rsidR="002F747B">
              <w:rPr>
                <w:rFonts w:ascii="Calibri" w:hAnsi="Calibri"/>
                <w:b/>
                <w:bCs/>
                <w:color w:val="000000"/>
                <w:lang w:val="sr-Latn-BA" w:eastAsia="sr-Latn-BA"/>
              </w:rPr>
              <w:t xml:space="preserve"> </w:t>
            </w:r>
            <w:r w:rsidR="00D14AE6" w:rsidRPr="008E402A">
              <w:rPr>
                <w:rFonts w:ascii="Calibri" w:hAnsi="Calibri"/>
                <w:b/>
                <w:bCs/>
                <w:color w:val="000000"/>
                <w:lang w:val="sr-Latn-BA" w:eastAsia="sr-Latn-BA"/>
              </w:rPr>
              <w:t xml:space="preserve"> 20</w:t>
            </w:r>
            <w:r w:rsidR="001537DC">
              <w:rPr>
                <w:rFonts w:ascii="Calibri" w:hAnsi="Calibri"/>
                <w:b/>
                <w:bCs/>
                <w:color w:val="000000"/>
                <w:lang w:val="sr-Latn-BA" w:eastAsia="sr-Latn-BA"/>
              </w:rPr>
              <w:t>2</w:t>
            </w:r>
            <w:r w:rsidR="002F747B">
              <w:rPr>
                <w:rFonts w:ascii="Calibri" w:hAnsi="Calibri"/>
                <w:b/>
                <w:bCs/>
                <w:color w:val="000000"/>
                <w:lang w:val="sr-Latn-BA" w:eastAsia="sr-Latn-BA"/>
              </w:rPr>
              <w:t>1</w:t>
            </w:r>
          </w:p>
        </w:tc>
        <w:tc>
          <w:tcPr>
            <w:tcW w:w="2360" w:type="dxa"/>
            <w:tcBorders>
              <w:top w:val="nil"/>
              <w:left w:val="nil"/>
              <w:bottom w:val="nil"/>
              <w:right w:val="nil"/>
            </w:tcBorders>
            <w:shd w:val="clear" w:color="000000" w:fill="FFFFFF"/>
            <w:noWrap/>
            <w:vAlign w:val="bottom"/>
            <w:hideMark/>
          </w:tcPr>
          <w:p w:rsidR="00D14AE6" w:rsidRPr="008E402A" w:rsidRDefault="00E10B0A" w:rsidP="004D72DC">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740.000</w:t>
            </w:r>
            <w:r w:rsidR="00D14AE6" w:rsidRPr="008E402A">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D14AE6" w:rsidRPr="000E3CC9" w:rsidRDefault="00B00F21" w:rsidP="002D6A6A">
            <w:pPr>
              <w:jc w:val="right"/>
              <w:rPr>
                <w:rFonts w:ascii="Calibri" w:hAnsi="Calibri"/>
                <w:b/>
                <w:bCs/>
                <w:color w:val="000000"/>
                <w:u w:val="single"/>
                <w:lang w:val="sr-Latn-BA" w:eastAsia="sr-Latn-BA"/>
              </w:rPr>
            </w:pPr>
            <w:r>
              <w:rPr>
                <w:rFonts w:ascii="Calibri" w:hAnsi="Calibri"/>
                <w:b/>
                <w:bCs/>
                <w:color w:val="000000"/>
                <w:u w:val="single"/>
                <w:lang w:val="sr-Latn-BA" w:eastAsia="sr-Latn-BA"/>
              </w:rPr>
              <w:t>3.080</w:t>
            </w:r>
            <w:r w:rsidR="006C08F6">
              <w:rPr>
                <w:rFonts w:ascii="Calibri" w:hAnsi="Calibri"/>
                <w:b/>
                <w:bCs/>
                <w:color w:val="000000"/>
                <w:u w:val="single"/>
                <w:lang w:val="sr-Latn-BA" w:eastAsia="sr-Latn-BA"/>
              </w:rPr>
              <w:t>.000</w:t>
            </w:r>
            <w:r w:rsidR="002D6A6A" w:rsidRPr="008E402A">
              <w:rPr>
                <w:rFonts w:ascii="Calibri" w:hAnsi="Calibri"/>
                <w:b/>
                <w:bCs/>
                <w:color w:val="000000"/>
                <w:u w:val="single"/>
                <w:lang w:val="sr-Latn-BA" w:eastAsia="sr-Latn-BA"/>
              </w:rPr>
              <w:t xml:space="preserve">    </w:t>
            </w:r>
          </w:p>
        </w:tc>
      </w:tr>
      <w:tr w:rsidR="00D14AE6" w:rsidRPr="000E3CC9" w:rsidTr="000E3CC9">
        <w:trPr>
          <w:trHeight w:val="370"/>
        </w:trPr>
        <w:tc>
          <w:tcPr>
            <w:tcW w:w="460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lang w:val="sr-Latn-BA" w:eastAsia="sr-Latn-BA"/>
              </w:rPr>
            </w:pPr>
          </w:p>
        </w:tc>
        <w:tc>
          <w:tcPr>
            <w:tcW w:w="236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c>
          <w:tcPr>
            <w:tcW w:w="204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r>
    </w:tbl>
    <w:p w:rsidR="00FE5618" w:rsidRPr="00A47E7E"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Oročeni depoziti Fonda kod poslovnih banaka u Bosni i Hercegovini</w:t>
      </w:r>
      <w:r w:rsidR="003C1759" w:rsidRPr="00A47E7E">
        <w:rPr>
          <w:rFonts w:ascii="Calibri" w:hAnsi="Calibri" w:cs="Calibri"/>
          <w:noProof/>
          <w:lang w:val="sr-Latn-CS"/>
        </w:rPr>
        <w:t xml:space="preserve"> mogu se u svakom trenutku razročiti.</w:t>
      </w:r>
    </w:p>
    <w:p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26423F" w:rsidRDefault="0026423F"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26423F" w:rsidRPr="00A47E7E" w:rsidRDefault="0026423F"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B64A52">
      <w:pPr>
        <w:pStyle w:val="Heading1"/>
        <w:rPr>
          <w:rFonts w:ascii="Calibri" w:hAnsi="Calibri" w:cs="Calibri"/>
          <w:noProof/>
          <w:sz w:val="24"/>
          <w:szCs w:val="24"/>
        </w:rPr>
      </w:pPr>
      <w:bookmarkStart w:id="26" w:name="_Toc64534454"/>
      <w:r w:rsidRPr="00A47E7E">
        <w:rPr>
          <w:rFonts w:ascii="Calibri" w:hAnsi="Calibri" w:cs="Calibri"/>
          <w:noProof/>
          <w:sz w:val="24"/>
          <w:szCs w:val="24"/>
        </w:rPr>
        <w:t>POTRAŽIVANJA PO OSNOVU DIVIDENDI</w:t>
      </w:r>
      <w:r w:rsidR="006D7ED6">
        <w:rPr>
          <w:rFonts w:ascii="Calibri" w:hAnsi="Calibri" w:cs="Calibri"/>
          <w:noProof/>
          <w:sz w:val="24"/>
          <w:szCs w:val="24"/>
        </w:rPr>
        <w:t xml:space="preserve"> I KAMATA</w:t>
      </w:r>
      <w:bookmarkEnd w:id="26"/>
    </w:p>
    <w:tbl>
      <w:tblPr>
        <w:tblW w:w="9069" w:type="dxa"/>
        <w:tblInd w:w="99" w:type="dxa"/>
        <w:tblLook w:val="04A0" w:firstRow="1" w:lastRow="0" w:firstColumn="1" w:lastColumn="0" w:noHBand="0" w:noVBand="1"/>
      </w:tblPr>
      <w:tblGrid>
        <w:gridCol w:w="3023"/>
        <w:gridCol w:w="3023"/>
        <w:gridCol w:w="3023"/>
      </w:tblGrid>
      <w:tr w:rsidR="006D7ED6" w:rsidRPr="00F54DDC" w:rsidTr="004D72DC">
        <w:trPr>
          <w:trHeight w:val="370"/>
        </w:trPr>
        <w:tc>
          <w:tcPr>
            <w:tcW w:w="3023" w:type="dxa"/>
            <w:tcBorders>
              <w:top w:val="nil"/>
              <w:left w:val="nil"/>
              <w:bottom w:val="nil"/>
              <w:right w:val="nil"/>
            </w:tcBorders>
            <w:shd w:val="clear" w:color="000000" w:fill="FFFFFF"/>
            <w:noWrap/>
            <w:vAlign w:val="bottom"/>
            <w:hideMark/>
          </w:tcPr>
          <w:p w:rsidR="006D7ED6" w:rsidRPr="006D7ED6" w:rsidRDefault="000E0EAC" w:rsidP="000E0EAC">
            <w:pPr>
              <w:rPr>
                <w:rFonts w:ascii="Calibri" w:hAnsi="Calibri"/>
                <w:b/>
                <w:bCs/>
                <w:color w:val="000000"/>
                <w:lang w:val="sr-Latn-BA" w:eastAsia="sr-Latn-BA"/>
              </w:rPr>
            </w:pPr>
            <w:r>
              <w:rPr>
                <w:rFonts w:ascii="Calibri" w:hAnsi="Calibri"/>
                <w:b/>
                <w:bCs/>
                <w:color w:val="000000"/>
                <w:lang w:val="sr-Latn-BA" w:eastAsia="sr-Latn-BA"/>
              </w:rPr>
              <w:t xml:space="preserve">Kamata </w:t>
            </w:r>
          </w:p>
        </w:tc>
        <w:tc>
          <w:tcPr>
            <w:tcW w:w="3023" w:type="dxa"/>
            <w:tcBorders>
              <w:top w:val="nil"/>
              <w:left w:val="nil"/>
              <w:bottom w:val="nil"/>
              <w:right w:val="nil"/>
            </w:tcBorders>
            <w:shd w:val="clear" w:color="000000" w:fill="FFFFFF"/>
            <w:noWrap/>
            <w:vAlign w:val="bottom"/>
            <w:hideMark/>
          </w:tcPr>
          <w:p w:rsidR="006D7ED6" w:rsidRPr="000E0EAC" w:rsidRDefault="006D7ED6" w:rsidP="00305B61">
            <w:pPr>
              <w:jc w:val="right"/>
              <w:rPr>
                <w:rFonts w:ascii="Calibri" w:hAnsi="Calibri"/>
                <w:b/>
                <w:bCs/>
                <w:color w:val="000000"/>
                <w:lang w:val="sr-Latn-BA" w:eastAsia="sr-Latn-BA"/>
              </w:rPr>
            </w:pPr>
            <w:r w:rsidRPr="000E0EAC">
              <w:rPr>
                <w:rFonts w:ascii="Calibri" w:hAnsi="Calibri"/>
                <w:b/>
                <w:bCs/>
                <w:color w:val="000000"/>
                <w:lang w:val="sr-Latn-BA" w:eastAsia="sr-Latn-BA"/>
              </w:rPr>
              <w:t>20</w:t>
            </w:r>
            <w:r w:rsidR="007F4407">
              <w:rPr>
                <w:rFonts w:ascii="Calibri" w:hAnsi="Calibri"/>
                <w:b/>
                <w:bCs/>
                <w:color w:val="000000"/>
                <w:lang w:val="sr-Latn-BA" w:eastAsia="sr-Latn-BA"/>
              </w:rPr>
              <w:t>2</w:t>
            </w:r>
            <w:r w:rsidR="00C442E1">
              <w:rPr>
                <w:rFonts w:ascii="Calibri" w:hAnsi="Calibri"/>
                <w:b/>
                <w:bCs/>
                <w:color w:val="000000"/>
                <w:lang w:val="sr-Latn-BA" w:eastAsia="sr-Latn-BA"/>
              </w:rPr>
              <w:t>1</w:t>
            </w:r>
          </w:p>
        </w:tc>
        <w:tc>
          <w:tcPr>
            <w:tcW w:w="3023" w:type="dxa"/>
            <w:tcBorders>
              <w:top w:val="nil"/>
              <w:left w:val="nil"/>
              <w:bottom w:val="nil"/>
              <w:right w:val="nil"/>
            </w:tcBorders>
            <w:shd w:val="clear" w:color="000000" w:fill="FFFFFF"/>
            <w:noWrap/>
            <w:vAlign w:val="bottom"/>
            <w:hideMark/>
          </w:tcPr>
          <w:p w:rsidR="001C6A15" w:rsidRPr="000E0EAC" w:rsidRDefault="006D7ED6" w:rsidP="00C442E1">
            <w:pPr>
              <w:jc w:val="right"/>
              <w:rPr>
                <w:rFonts w:ascii="Calibri" w:hAnsi="Calibri"/>
                <w:b/>
                <w:bCs/>
                <w:color w:val="000000"/>
                <w:lang w:val="sr-Latn-BA" w:eastAsia="sr-Latn-BA"/>
              </w:rPr>
            </w:pPr>
            <w:r w:rsidRPr="000E0EAC">
              <w:rPr>
                <w:rFonts w:ascii="Calibri" w:hAnsi="Calibri"/>
                <w:b/>
                <w:bCs/>
                <w:color w:val="000000"/>
                <w:lang w:val="sr-Latn-BA" w:eastAsia="sr-Latn-BA"/>
              </w:rPr>
              <w:t>20</w:t>
            </w:r>
            <w:r w:rsidR="00C442E1">
              <w:rPr>
                <w:rFonts w:ascii="Calibri" w:hAnsi="Calibri"/>
                <w:b/>
                <w:bCs/>
                <w:color w:val="000000"/>
                <w:lang w:val="sr-Latn-BA" w:eastAsia="sr-Latn-BA"/>
              </w:rPr>
              <w:t>20</w:t>
            </w:r>
          </w:p>
        </w:tc>
      </w:tr>
      <w:tr w:rsidR="009F0B37" w:rsidRPr="00F54DDC" w:rsidTr="004D72DC">
        <w:trPr>
          <w:trHeight w:val="370"/>
        </w:trPr>
        <w:tc>
          <w:tcPr>
            <w:tcW w:w="3023" w:type="dxa"/>
            <w:tcBorders>
              <w:top w:val="nil"/>
              <w:left w:val="nil"/>
              <w:bottom w:val="nil"/>
              <w:right w:val="nil"/>
            </w:tcBorders>
            <w:shd w:val="clear" w:color="000000" w:fill="FFFFFF"/>
            <w:noWrap/>
            <w:vAlign w:val="bottom"/>
          </w:tcPr>
          <w:p w:rsidR="009F0B37" w:rsidRDefault="009F0B37" w:rsidP="009F0B37">
            <w:pPr>
              <w:rPr>
                <w:rFonts w:ascii="Calibri" w:hAnsi="Calibri"/>
                <w:b/>
                <w:bCs/>
                <w:color w:val="000000"/>
                <w:lang w:val="sr-Latn-BA" w:eastAsia="sr-Latn-BA"/>
              </w:rPr>
            </w:pPr>
            <w:r w:rsidRPr="001C6A15">
              <w:rPr>
                <w:rFonts w:ascii="Calibri" w:hAnsi="Calibri"/>
                <w:bCs/>
                <w:color w:val="000000"/>
                <w:lang w:val="sr-Latn-BA" w:eastAsia="sr-Latn-BA"/>
              </w:rPr>
              <w:t xml:space="preserve">Potraživanja po osnovu kamata – </w:t>
            </w:r>
            <w:r>
              <w:rPr>
                <w:rFonts w:ascii="Calibri" w:hAnsi="Calibri"/>
                <w:bCs/>
                <w:color w:val="000000"/>
                <w:lang w:val="sr-Latn-BA" w:eastAsia="sr-Latn-BA"/>
              </w:rPr>
              <w:t xml:space="preserve">depozit </w:t>
            </w:r>
          </w:p>
        </w:tc>
        <w:tc>
          <w:tcPr>
            <w:tcW w:w="3023" w:type="dxa"/>
            <w:tcBorders>
              <w:top w:val="nil"/>
              <w:left w:val="nil"/>
              <w:bottom w:val="nil"/>
              <w:right w:val="nil"/>
            </w:tcBorders>
            <w:shd w:val="clear" w:color="000000" w:fill="FFFFFF"/>
            <w:noWrap/>
            <w:vAlign w:val="bottom"/>
          </w:tcPr>
          <w:p w:rsidR="009F0B37" w:rsidRPr="000E0EAC" w:rsidRDefault="009F0B37" w:rsidP="00305B61">
            <w:pPr>
              <w:jc w:val="right"/>
              <w:rPr>
                <w:rFonts w:ascii="Calibri" w:hAnsi="Calibri"/>
                <w:b/>
                <w:bCs/>
                <w:color w:val="000000"/>
                <w:lang w:val="sr-Latn-BA" w:eastAsia="sr-Latn-BA"/>
              </w:rPr>
            </w:pPr>
            <w:r>
              <w:rPr>
                <w:rFonts w:ascii="Calibri" w:hAnsi="Calibri"/>
                <w:b/>
                <w:bCs/>
                <w:color w:val="000000"/>
                <w:lang w:val="sr-Latn-BA" w:eastAsia="sr-Latn-BA"/>
              </w:rPr>
              <w:t>216</w:t>
            </w:r>
          </w:p>
        </w:tc>
        <w:tc>
          <w:tcPr>
            <w:tcW w:w="3023" w:type="dxa"/>
            <w:tcBorders>
              <w:top w:val="nil"/>
              <w:left w:val="nil"/>
              <w:bottom w:val="nil"/>
              <w:right w:val="nil"/>
            </w:tcBorders>
            <w:shd w:val="clear" w:color="000000" w:fill="FFFFFF"/>
            <w:noWrap/>
            <w:vAlign w:val="bottom"/>
          </w:tcPr>
          <w:p w:rsidR="009F0B37" w:rsidRPr="000E0EAC" w:rsidRDefault="009F0B37" w:rsidP="00C442E1">
            <w:pPr>
              <w:jc w:val="right"/>
              <w:rPr>
                <w:rFonts w:ascii="Calibri" w:hAnsi="Calibri"/>
                <w:b/>
                <w:bCs/>
                <w:color w:val="000000"/>
                <w:lang w:val="sr-Latn-BA" w:eastAsia="sr-Latn-BA"/>
              </w:rPr>
            </w:pPr>
          </w:p>
        </w:tc>
      </w:tr>
      <w:tr w:rsidR="006D7ED6" w:rsidRPr="001C6A15" w:rsidTr="004D72DC">
        <w:trPr>
          <w:trHeight w:val="370"/>
        </w:trPr>
        <w:tc>
          <w:tcPr>
            <w:tcW w:w="3023" w:type="dxa"/>
            <w:tcBorders>
              <w:top w:val="nil"/>
              <w:left w:val="nil"/>
              <w:bottom w:val="nil"/>
              <w:right w:val="nil"/>
            </w:tcBorders>
            <w:shd w:val="clear" w:color="000000" w:fill="FFFFFF"/>
            <w:noWrap/>
            <w:vAlign w:val="bottom"/>
            <w:hideMark/>
          </w:tcPr>
          <w:p w:rsidR="006D7ED6" w:rsidRPr="001C6A15" w:rsidRDefault="001C6A15" w:rsidP="000E0EAC">
            <w:pPr>
              <w:rPr>
                <w:rFonts w:ascii="Calibri" w:hAnsi="Calibri"/>
                <w:bCs/>
                <w:color w:val="000000"/>
                <w:lang w:val="sr-Latn-BA" w:eastAsia="sr-Latn-BA"/>
              </w:rPr>
            </w:pPr>
            <w:bookmarkStart w:id="27" w:name="_GoBack" w:colFirst="1" w:colLast="2"/>
            <w:r w:rsidRPr="001C6A15">
              <w:rPr>
                <w:rFonts w:ascii="Calibri" w:hAnsi="Calibri"/>
                <w:bCs/>
                <w:color w:val="000000"/>
                <w:lang w:val="sr-Latn-BA" w:eastAsia="sr-Latn-BA"/>
              </w:rPr>
              <w:t xml:space="preserve">Potraživanja po osnovu kamata – obveznice </w:t>
            </w:r>
          </w:p>
        </w:tc>
        <w:tc>
          <w:tcPr>
            <w:tcW w:w="3023" w:type="dxa"/>
            <w:tcBorders>
              <w:top w:val="nil"/>
              <w:left w:val="nil"/>
              <w:bottom w:val="nil"/>
              <w:right w:val="nil"/>
            </w:tcBorders>
            <w:shd w:val="clear" w:color="000000" w:fill="FFFFFF"/>
            <w:noWrap/>
            <w:vAlign w:val="bottom"/>
            <w:hideMark/>
          </w:tcPr>
          <w:p w:rsidR="006D7ED6" w:rsidRPr="00C96EC7" w:rsidRDefault="009F0B37" w:rsidP="00510466">
            <w:pPr>
              <w:jc w:val="right"/>
              <w:rPr>
                <w:rFonts w:ascii="Calibri" w:hAnsi="Calibri"/>
                <w:bCs/>
                <w:color w:val="000000"/>
                <w:lang w:val="sr-Latn-BA" w:eastAsia="sr-Latn-BA"/>
              </w:rPr>
            </w:pPr>
            <w:r w:rsidRPr="00C96EC7">
              <w:rPr>
                <w:rFonts w:ascii="Calibri" w:hAnsi="Calibri"/>
                <w:bCs/>
                <w:color w:val="000000"/>
                <w:lang w:val="sr-Latn-BA" w:eastAsia="sr-Latn-BA"/>
              </w:rPr>
              <w:t>1.882</w:t>
            </w:r>
          </w:p>
        </w:tc>
        <w:tc>
          <w:tcPr>
            <w:tcW w:w="3023" w:type="dxa"/>
            <w:tcBorders>
              <w:top w:val="nil"/>
              <w:left w:val="nil"/>
              <w:bottom w:val="nil"/>
              <w:right w:val="nil"/>
            </w:tcBorders>
            <w:shd w:val="clear" w:color="000000" w:fill="FFFFFF"/>
            <w:noWrap/>
            <w:vAlign w:val="bottom"/>
            <w:hideMark/>
          </w:tcPr>
          <w:p w:rsidR="006D7ED6" w:rsidRPr="00C96EC7" w:rsidRDefault="00C96EC7" w:rsidP="00510466">
            <w:pPr>
              <w:jc w:val="right"/>
              <w:rPr>
                <w:rFonts w:ascii="Calibri" w:hAnsi="Calibri"/>
                <w:bCs/>
                <w:color w:val="000000"/>
                <w:lang w:val="sr-Latn-BA" w:eastAsia="sr-Latn-BA"/>
              </w:rPr>
            </w:pPr>
            <w:r w:rsidRPr="00C96EC7">
              <w:rPr>
                <w:rFonts w:ascii="Calibri" w:hAnsi="Calibri"/>
                <w:bCs/>
                <w:color w:val="000000"/>
                <w:lang w:val="sr-Latn-BA" w:eastAsia="sr-Latn-BA"/>
              </w:rPr>
              <w:t>721</w:t>
            </w:r>
          </w:p>
        </w:tc>
      </w:tr>
      <w:bookmarkEnd w:id="27"/>
      <w:tr w:rsidR="006D7ED6" w:rsidRPr="00F54DDC" w:rsidTr="004D72DC">
        <w:trPr>
          <w:trHeight w:val="370"/>
        </w:trPr>
        <w:tc>
          <w:tcPr>
            <w:tcW w:w="3023" w:type="dxa"/>
            <w:tcBorders>
              <w:top w:val="nil"/>
              <w:left w:val="nil"/>
              <w:bottom w:val="nil"/>
              <w:right w:val="nil"/>
            </w:tcBorders>
            <w:shd w:val="clear" w:color="000000" w:fill="FFFFFF"/>
            <w:noWrap/>
            <w:vAlign w:val="bottom"/>
            <w:hideMark/>
          </w:tcPr>
          <w:p w:rsidR="006D7ED6" w:rsidRPr="00F54DDC" w:rsidRDefault="00E10B0A" w:rsidP="00C442E1">
            <w:pPr>
              <w:rPr>
                <w:rFonts w:ascii="Calibri" w:hAnsi="Calibri"/>
                <w:b/>
                <w:bCs/>
                <w:color w:val="000000"/>
                <w:lang w:val="sr-Latn-BA" w:eastAsia="sr-Latn-BA"/>
              </w:rPr>
            </w:pPr>
            <w:r>
              <w:rPr>
                <w:rFonts w:ascii="Calibri" w:hAnsi="Calibri"/>
                <w:b/>
                <w:bCs/>
                <w:color w:val="000000"/>
                <w:lang w:val="sr-Latn-BA" w:eastAsia="sr-Latn-BA"/>
              </w:rPr>
              <w:t>Stanje na dan 30</w:t>
            </w:r>
            <w:r w:rsidR="006D7ED6" w:rsidRPr="00F54DDC">
              <w:rPr>
                <w:rFonts w:ascii="Calibri" w:hAnsi="Calibri"/>
                <w:b/>
                <w:bCs/>
                <w:color w:val="000000"/>
                <w:lang w:val="sr-Latn-BA" w:eastAsia="sr-Latn-BA"/>
              </w:rPr>
              <w:t xml:space="preserve">. </w:t>
            </w:r>
            <w:r>
              <w:rPr>
                <w:rFonts w:ascii="Calibri" w:hAnsi="Calibri"/>
                <w:b/>
                <w:bCs/>
                <w:color w:val="000000"/>
                <w:lang w:val="sr-Latn-BA" w:eastAsia="sr-Latn-BA"/>
              </w:rPr>
              <w:t>jun</w:t>
            </w:r>
            <w:r w:rsidR="00C442E1">
              <w:rPr>
                <w:rFonts w:ascii="Calibri" w:hAnsi="Calibri"/>
                <w:b/>
                <w:bCs/>
                <w:color w:val="000000"/>
                <w:lang w:val="sr-Latn-BA" w:eastAsia="sr-Latn-BA"/>
              </w:rPr>
              <w:t xml:space="preserve"> 2021</w:t>
            </w:r>
          </w:p>
        </w:tc>
        <w:tc>
          <w:tcPr>
            <w:tcW w:w="3023" w:type="dxa"/>
            <w:tcBorders>
              <w:top w:val="nil"/>
              <w:left w:val="nil"/>
              <w:bottom w:val="nil"/>
              <w:right w:val="nil"/>
            </w:tcBorders>
            <w:shd w:val="clear" w:color="000000" w:fill="FFFFFF"/>
            <w:noWrap/>
            <w:vAlign w:val="bottom"/>
            <w:hideMark/>
          </w:tcPr>
          <w:p w:rsidR="006D7ED6" w:rsidRPr="00F54DDC" w:rsidRDefault="006D7ED6" w:rsidP="00C442E1">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510466">
              <w:rPr>
                <w:rFonts w:ascii="Calibri" w:hAnsi="Calibri"/>
                <w:b/>
                <w:bCs/>
                <w:color w:val="000000"/>
                <w:u w:val="single"/>
                <w:lang w:val="sr-Latn-BA" w:eastAsia="sr-Latn-BA"/>
              </w:rPr>
              <w:t xml:space="preserve">                               </w:t>
            </w:r>
            <w:r w:rsidR="009F0B37">
              <w:rPr>
                <w:rFonts w:ascii="Calibri" w:hAnsi="Calibri"/>
                <w:b/>
                <w:bCs/>
                <w:color w:val="000000"/>
                <w:u w:val="single"/>
                <w:lang w:val="sr-Latn-BA" w:eastAsia="sr-Latn-BA"/>
              </w:rPr>
              <w:t>2.098</w:t>
            </w:r>
            <w:r w:rsidRPr="00F54DDC">
              <w:rPr>
                <w:rFonts w:ascii="Calibri" w:hAnsi="Calibri"/>
                <w:b/>
                <w:bCs/>
                <w:color w:val="000000"/>
                <w:u w:val="single"/>
                <w:lang w:val="sr-Latn-BA" w:eastAsia="sr-Latn-BA"/>
              </w:rPr>
              <w:t xml:space="preserve">      </w:t>
            </w:r>
          </w:p>
        </w:tc>
        <w:tc>
          <w:tcPr>
            <w:tcW w:w="3023" w:type="dxa"/>
            <w:tcBorders>
              <w:top w:val="nil"/>
              <w:left w:val="nil"/>
              <w:bottom w:val="nil"/>
              <w:right w:val="nil"/>
            </w:tcBorders>
            <w:shd w:val="clear" w:color="000000" w:fill="FFFFFF"/>
            <w:noWrap/>
            <w:vAlign w:val="bottom"/>
            <w:hideMark/>
          </w:tcPr>
          <w:p w:rsidR="006D7ED6" w:rsidRPr="00F54DDC" w:rsidRDefault="00C96EC7" w:rsidP="006C08F6">
            <w:pPr>
              <w:jc w:val="right"/>
              <w:rPr>
                <w:rFonts w:ascii="Calibri" w:hAnsi="Calibri"/>
                <w:b/>
                <w:bCs/>
                <w:color w:val="000000"/>
                <w:u w:val="single"/>
                <w:lang w:val="sr-Latn-BA" w:eastAsia="sr-Latn-BA"/>
              </w:rPr>
            </w:pPr>
            <w:r>
              <w:rPr>
                <w:rFonts w:ascii="Calibri" w:hAnsi="Calibri"/>
                <w:b/>
                <w:bCs/>
                <w:color w:val="000000"/>
                <w:u w:val="single"/>
                <w:lang w:val="sr-Latn-BA" w:eastAsia="sr-Latn-BA"/>
              </w:rPr>
              <w:t>721</w:t>
            </w:r>
            <w:r w:rsidR="001537DC" w:rsidRPr="00F54DDC">
              <w:rPr>
                <w:rFonts w:ascii="Calibri" w:hAnsi="Calibri"/>
                <w:b/>
                <w:bCs/>
                <w:color w:val="000000"/>
                <w:u w:val="single"/>
                <w:lang w:val="sr-Latn-BA" w:eastAsia="sr-Latn-BA"/>
              </w:rPr>
              <w:t xml:space="preserve">      </w:t>
            </w:r>
            <w:r w:rsidR="006D7ED6" w:rsidRPr="00F54DDC">
              <w:rPr>
                <w:rFonts w:ascii="Calibri" w:hAnsi="Calibri"/>
                <w:b/>
                <w:bCs/>
                <w:color w:val="000000"/>
                <w:u w:val="single"/>
                <w:lang w:val="sr-Latn-BA" w:eastAsia="sr-Latn-BA"/>
              </w:rPr>
              <w:t xml:space="preserve">     </w:t>
            </w:r>
          </w:p>
        </w:tc>
      </w:tr>
    </w:tbl>
    <w:p w:rsidR="00305B61" w:rsidRDefault="00305B6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05B61" w:rsidRPr="00A47E7E" w:rsidRDefault="00305B6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Default="00CE6D8A" w:rsidP="00B64A52">
      <w:pPr>
        <w:pStyle w:val="Heading1"/>
        <w:rPr>
          <w:rFonts w:ascii="Calibri" w:hAnsi="Calibri" w:cs="Calibri"/>
          <w:noProof/>
          <w:sz w:val="24"/>
          <w:szCs w:val="24"/>
        </w:rPr>
      </w:pPr>
      <w:bookmarkStart w:id="28" w:name="_Toc64534455"/>
      <w:r w:rsidRPr="00A47E7E">
        <w:rPr>
          <w:rFonts w:ascii="Calibri" w:hAnsi="Calibri" w:cs="Calibri"/>
          <w:noProof/>
          <w:sz w:val="24"/>
          <w:szCs w:val="24"/>
        </w:rPr>
        <w:t>OBAVEZE PREMA DRUŠTVU ZA UPRAVLJANJE</w:t>
      </w:r>
      <w:bookmarkEnd w:id="28"/>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w:t>
      </w:r>
      <w:r w:rsidR="000E0EAC">
        <w:rPr>
          <w:rFonts w:ascii="Calibri" w:eastAsia="Arial Unicode MS" w:hAnsi="Calibri" w:cs="Calibri"/>
          <w:noProof/>
          <w:lang w:val="sr-Latn-CS"/>
        </w:rPr>
        <w:t>aveza</w:t>
      </w:r>
      <w:r w:rsidR="009F0B37">
        <w:rPr>
          <w:rFonts w:ascii="Calibri" w:eastAsia="Arial Unicode MS" w:hAnsi="Calibri" w:cs="Calibri"/>
          <w:noProof/>
          <w:lang w:val="sr-Latn-CS"/>
        </w:rPr>
        <w:t xml:space="preserve"> prema Društvu na dan 30.06</w:t>
      </w:r>
      <w:r w:rsidR="00C442E1">
        <w:rPr>
          <w:rFonts w:ascii="Calibri" w:eastAsia="Arial Unicode MS" w:hAnsi="Calibri" w:cs="Calibri"/>
          <w:noProof/>
          <w:lang w:val="sr-Latn-CS"/>
        </w:rPr>
        <w:t>.2021</w:t>
      </w:r>
      <w:r w:rsidRPr="00A47E7E">
        <w:rPr>
          <w:rFonts w:ascii="Calibri" w:eastAsia="Arial Unicode MS" w:hAnsi="Calibri" w:cs="Calibri"/>
          <w:noProof/>
          <w:lang w:val="sr-Latn-CS"/>
        </w:rPr>
        <w:t xml:space="preserve">. godine iznose </w:t>
      </w:r>
      <w:r w:rsidR="00901DA6">
        <w:rPr>
          <w:rFonts w:ascii="Calibri" w:eastAsia="Arial Unicode MS" w:hAnsi="Calibri" w:cs="Calibri"/>
          <w:noProof/>
          <w:lang w:val="sr-Latn-CS"/>
        </w:rPr>
        <w:t>4.379</w:t>
      </w:r>
      <w:r w:rsidR="004D7FAB">
        <w:rPr>
          <w:rFonts w:ascii="Calibri" w:eastAsia="Arial Unicode MS" w:hAnsi="Calibri" w:cs="Calibri"/>
          <w:noProof/>
          <w:lang w:val="sr-Latn-CS"/>
        </w:rPr>
        <w:t xml:space="preserve"> </w:t>
      </w:r>
      <w:r w:rsidR="0003660C" w:rsidRPr="00A47E7E">
        <w:rPr>
          <w:rFonts w:ascii="Calibri" w:eastAsia="Arial Unicode MS" w:hAnsi="Calibri" w:cs="Calibri"/>
          <w:noProof/>
          <w:lang w:val="sr-Latn-CS"/>
        </w:rPr>
        <w:t>K</w:t>
      </w:r>
      <w:r w:rsidR="004D7FAB">
        <w:rPr>
          <w:rFonts w:ascii="Calibri" w:eastAsia="Arial Unicode MS" w:hAnsi="Calibri" w:cs="Calibri"/>
          <w:noProof/>
          <w:lang w:val="sr-Latn-CS"/>
        </w:rPr>
        <w:t>onvertibilnih</w:t>
      </w:r>
      <w:r w:rsidR="003259E6">
        <w:rPr>
          <w:rFonts w:ascii="Calibri" w:eastAsia="Arial Unicode MS" w:hAnsi="Calibri" w:cs="Calibri"/>
          <w:noProof/>
          <w:lang w:val="sr-Latn-CS"/>
        </w:rPr>
        <w:t xml:space="preserve"> mar</w:t>
      </w:r>
      <w:r w:rsidR="004D7FAB">
        <w:rPr>
          <w:rFonts w:ascii="Calibri" w:eastAsia="Arial Unicode MS" w:hAnsi="Calibri" w:cs="Calibri"/>
          <w:noProof/>
          <w:lang w:val="sr-Latn-CS"/>
        </w:rPr>
        <w:t>a</w:t>
      </w:r>
      <w:r w:rsidR="003259E6">
        <w:rPr>
          <w:rFonts w:ascii="Calibri" w:eastAsia="Arial Unicode MS" w:hAnsi="Calibri" w:cs="Calibri"/>
          <w:noProof/>
          <w:lang w:val="sr-Latn-CS"/>
        </w:rPr>
        <w:t>ka</w:t>
      </w:r>
      <w:r w:rsidR="00DB55A5" w:rsidRPr="00A47E7E">
        <w:rPr>
          <w:rFonts w:ascii="Calibri" w:eastAsia="Arial Unicode MS" w:hAnsi="Calibri" w:cs="Calibri"/>
          <w:noProof/>
          <w:lang w:val="sr-Latn-CS"/>
        </w:rPr>
        <w:t xml:space="preserve"> i odnose</w:t>
      </w:r>
      <w:r w:rsidR="004D7FAB" w:rsidRPr="004D7FAB">
        <w:rPr>
          <w:rFonts w:ascii="Calibri" w:eastAsia="Arial Unicode MS" w:hAnsi="Calibri" w:cs="Calibri"/>
          <w:noProof/>
          <w:lang w:val="sr-Latn-CS"/>
        </w:rPr>
        <w:t xml:space="preserve"> </w:t>
      </w:r>
      <w:r w:rsidR="004D7FAB" w:rsidRPr="00A47E7E">
        <w:rPr>
          <w:rFonts w:ascii="Calibri" w:eastAsia="Arial Unicode MS" w:hAnsi="Calibri" w:cs="Calibri"/>
          <w:noProof/>
          <w:lang w:val="sr-Latn-CS"/>
        </w:rPr>
        <w:t>se</w:t>
      </w:r>
      <w:r w:rsidR="00B00F21">
        <w:rPr>
          <w:rFonts w:ascii="Calibri" w:eastAsia="Arial Unicode MS" w:hAnsi="Calibri" w:cs="Calibri"/>
          <w:noProof/>
          <w:lang w:val="sr-Latn-CS"/>
        </w:rPr>
        <w:t xml:space="preserve"> na obavezu po osnovu naknade</w:t>
      </w:r>
      <w:r w:rsidR="004D7FAB">
        <w:rPr>
          <w:rFonts w:ascii="Calibri" w:eastAsia="Arial Unicode MS" w:hAnsi="Calibri" w:cs="Calibri"/>
          <w:noProof/>
          <w:lang w:val="sr-Latn-CS"/>
        </w:rPr>
        <w:t xml:space="preserve"> za upravljanje Fondom </w:t>
      </w:r>
      <w:r w:rsidR="00B00F21">
        <w:rPr>
          <w:rFonts w:ascii="Calibri" w:eastAsia="Arial Unicode MS" w:hAnsi="Calibri" w:cs="Calibri"/>
          <w:noProof/>
          <w:lang w:val="sr-Latn-CS"/>
        </w:rPr>
        <w:t xml:space="preserve">i izlazne </w:t>
      </w:r>
      <w:r w:rsidR="00B00F21" w:rsidRPr="00B00F21">
        <w:rPr>
          <w:rFonts w:ascii="Calibri" w:eastAsia="Arial Unicode MS" w:hAnsi="Calibri" w:cs="Calibri"/>
          <w:noProof/>
          <w:lang w:val="sr-Latn-CS"/>
        </w:rPr>
        <w:t xml:space="preserve">naknade </w:t>
      </w:r>
      <w:r w:rsidR="00901DA6">
        <w:rPr>
          <w:rFonts w:ascii="Calibri" w:eastAsia="Arial Unicode MS" w:hAnsi="Calibri" w:cs="Calibri"/>
          <w:noProof/>
          <w:lang w:val="sr-Latn-CS"/>
        </w:rPr>
        <w:t>2</w:t>
      </w:r>
      <w:r w:rsidR="00B00F21" w:rsidRPr="00B00F21">
        <w:rPr>
          <w:rFonts w:ascii="Calibri" w:eastAsia="Arial Unicode MS" w:hAnsi="Calibri" w:cs="Calibri"/>
          <w:noProof/>
          <w:lang w:val="sr-Latn-CS"/>
        </w:rPr>
        <w:t xml:space="preserve"> KM, </w:t>
      </w:r>
      <w:r w:rsidR="00901DA6">
        <w:rPr>
          <w:rFonts w:ascii="Calibri" w:eastAsia="Arial Unicode MS" w:hAnsi="Calibri" w:cs="Calibri"/>
          <w:noProof/>
          <w:lang w:val="sr-Latn-CS"/>
        </w:rPr>
        <w:t>243</w:t>
      </w:r>
      <w:r w:rsidR="00B00F21" w:rsidRPr="00B00F21">
        <w:rPr>
          <w:rFonts w:ascii="Calibri" w:eastAsia="Arial Unicode MS" w:hAnsi="Calibri" w:cs="Calibri"/>
          <w:noProof/>
          <w:lang w:val="sr-Latn-CS"/>
        </w:rPr>
        <w:t xml:space="preserve"> </w:t>
      </w:r>
      <w:r w:rsidR="004D7FAB" w:rsidRPr="00B00F21">
        <w:rPr>
          <w:rFonts w:ascii="Calibri" w:eastAsia="Arial Unicode MS" w:hAnsi="Calibri" w:cs="Calibri"/>
          <w:noProof/>
          <w:lang w:val="sr-Latn-CS"/>
        </w:rPr>
        <w:t>KM po osnovu otkupa udjela.</w:t>
      </w:r>
      <w:r w:rsidR="00DB55A5" w:rsidRPr="00A47E7E">
        <w:rPr>
          <w:rFonts w:ascii="Calibri" w:eastAsia="Arial Unicode MS" w:hAnsi="Calibri" w:cs="Calibri"/>
          <w:noProof/>
          <w:lang w:val="sr-Latn-CS"/>
        </w:rPr>
        <w:t xml:space="preserve"> </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29" w:name="_Toc64534456"/>
      <w:r w:rsidRPr="00A47E7E">
        <w:rPr>
          <w:rFonts w:ascii="Calibri" w:hAnsi="Calibri" w:cs="Calibri"/>
          <w:noProof/>
          <w:sz w:val="24"/>
          <w:szCs w:val="24"/>
        </w:rPr>
        <w:t>KAPITAL</w:t>
      </w:r>
      <w:bookmarkEnd w:id="29"/>
    </w:p>
    <w:p w:rsidR="003457FC" w:rsidRPr="00A47E7E" w:rsidRDefault="003457FC" w:rsidP="00F014B7">
      <w:pPr>
        <w:pStyle w:val="Heading2"/>
        <w:jc w:val="center"/>
        <w:rPr>
          <w:rFonts w:ascii="Calibri" w:hAnsi="Calibri" w:cs="Calibri"/>
          <w:noProof/>
          <w:sz w:val="24"/>
          <w:szCs w:val="24"/>
        </w:rPr>
      </w:pPr>
      <w:bookmarkStart w:id="30" w:name="_Toc64534457"/>
      <w:r w:rsidRPr="00A47E7E">
        <w:rPr>
          <w:rFonts w:ascii="Calibri" w:hAnsi="Calibri" w:cs="Calibri"/>
          <w:noProof/>
          <w:sz w:val="24"/>
          <w:szCs w:val="24"/>
        </w:rPr>
        <w:t>Osnovni kapital- udjeli</w:t>
      </w:r>
      <w:bookmarkEnd w:id="30"/>
    </w:p>
    <w:p w:rsidR="003457FC" w:rsidRPr="00A47E7E" w:rsidRDefault="003457FC" w:rsidP="003457FC">
      <w:pPr>
        <w:pStyle w:val="BodyTextIndent"/>
        <w:suppressAutoHyphens/>
        <w:ind w:left="0"/>
        <w:jc w:val="both"/>
        <w:rPr>
          <w:rFonts w:ascii="Calibri" w:hAnsi="Calibri" w:cs="Calibri"/>
          <w:noProof/>
        </w:rPr>
      </w:pP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w:t>
      </w:r>
      <w:r w:rsidR="00510466">
        <w:rPr>
          <w:rFonts w:ascii="Calibri" w:hAnsi="Calibri" w:cs="Calibri"/>
          <w:lang w:val="hr-HR"/>
        </w:rPr>
        <w:t>potpunom</w:t>
      </w:r>
      <w:r w:rsidRPr="00A47E7E">
        <w:rPr>
          <w:rFonts w:ascii="Calibri" w:hAnsi="Calibri" w:cs="Calibri"/>
          <w:lang w:val="hr-HR"/>
        </w:rPr>
        <w:t xml:space="preserve"> preoblikovanju ZMIF-a u preoblikovanju </w:t>
      </w:r>
      <w:r w:rsidR="006656AB">
        <w:rPr>
          <w:rFonts w:ascii="Calibri" w:hAnsi="Calibri" w:cs="Calibri"/>
          <w:lang w:val="hr-HR"/>
        </w:rPr>
        <w:t>Kristal invest</w:t>
      </w:r>
      <w:r w:rsidRPr="00A47E7E">
        <w:rPr>
          <w:rFonts w:ascii="Calibri" w:hAnsi="Calibri" w:cs="Calibri"/>
          <w:lang w:val="hr-HR"/>
        </w:rPr>
        <w:t xml:space="preserve"> fond</w:t>
      </w:r>
      <w:r w:rsidR="004A4C21">
        <w:rPr>
          <w:rFonts w:ascii="Calibri" w:hAnsi="Calibri" w:cs="Calibri"/>
          <w:lang w:val="hr-HR"/>
        </w:rPr>
        <w:t>-a, Odlukom o osnivanju ONIF Cash fund-a</w:t>
      </w:r>
      <w:r w:rsidRPr="00A47E7E">
        <w:rPr>
          <w:rFonts w:ascii="Calibri" w:hAnsi="Calibri" w:cs="Calibri"/>
          <w:lang w:val="hr-HR"/>
        </w:rPr>
        <w:t xml:space="preserve"> </w:t>
      </w:r>
      <w:r w:rsidR="00E70E1C">
        <w:rPr>
          <w:rFonts w:ascii="Calibri" w:hAnsi="Calibri" w:cs="Calibri"/>
          <w:lang w:val="hr-HR"/>
        </w:rPr>
        <w:t xml:space="preserve">Banja </w:t>
      </w:r>
      <w:proofErr w:type="gramStart"/>
      <w:r w:rsidR="00E70E1C">
        <w:rPr>
          <w:rFonts w:ascii="Calibri" w:hAnsi="Calibri" w:cs="Calibri"/>
          <w:lang w:val="hr-HR"/>
        </w:rPr>
        <w:t xml:space="preserve">Luka </w:t>
      </w:r>
      <w:r w:rsidR="004A4C21">
        <w:rPr>
          <w:rFonts w:ascii="Calibri" w:hAnsi="Calibri" w:cs="Calibri"/>
          <w:lang w:val="hr-HR"/>
        </w:rPr>
        <w:t xml:space="preserve"> i</w:t>
      </w:r>
      <w:proofErr w:type="gramEnd"/>
      <w:r w:rsidR="004A4C21">
        <w:rPr>
          <w:rFonts w:ascii="Calibri" w:hAnsi="Calibri" w:cs="Calibri"/>
          <w:lang w:val="hr-HR"/>
        </w:rPr>
        <w:t xml:space="preserve"> </w:t>
      </w:r>
      <w:r w:rsidR="00E70E1C">
        <w:rPr>
          <w:rFonts w:ascii="Calibri" w:hAnsi="Calibri" w:cs="Calibri"/>
          <w:lang w:val="hr-HR"/>
        </w:rPr>
        <w:t>iznosi</w:t>
      </w:r>
      <w:r w:rsidRPr="00A47E7E">
        <w:rPr>
          <w:rFonts w:ascii="Calibri" w:hAnsi="Calibri" w:cs="Calibri"/>
          <w:lang w:val="hr-HR"/>
        </w:rPr>
        <w:t xml:space="preserve"> </w:t>
      </w:r>
      <w:r w:rsidR="004A4C21">
        <w:rPr>
          <w:rFonts w:ascii="Calibri" w:hAnsi="Calibri" w:cs="Calibri"/>
          <w:lang w:val="hr-HR"/>
        </w:rPr>
        <w:t>3.819.322 Konvertibilne marake</w:t>
      </w:r>
      <w:r w:rsidRPr="00A47E7E">
        <w:rPr>
          <w:rFonts w:ascii="Calibri" w:hAnsi="Calibri" w:cs="Calibri"/>
          <w:lang w:val="hr-HR"/>
        </w:rPr>
        <w:t xml:space="preserve">. </w:t>
      </w: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 xml:space="preserve">a otvorenog investicionog fonda </w:t>
      </w:r>
      <w:r w:rsidR="004A4C21">
        <w:rPr>
          <w:rFonts w:ascii="Calibri" w:hAnsi="Calibri" w:cs="Calibri"/>
          <w:noProof/>
        </w:rPr>
        <w:t>Cash f</w:t>
      </w:r>
      <w:r w:rsidR="006656AB">
        <w:rPr>
          <w:rFonts w:ascii="Calibri" w:hAnsi="Calibri" w:cs="Calibri"/>
          <w:noProof/>
        </w:rPr>
        <w:t xml:space="preserve">und </w:t>
      </w:r>
      <w:r w:rsidR="004A4C21">
        <w:rPr>
          <w:rFonts w:ascii="Calibri" w:hAnsi="Calibri" w:cs="Calibri"/>
          <w:noProof/>
        </w:rPr>
        <w:t>23.11.2018</w:t>
      </w:r>
      <w:r w:rsidRPr="00A47E7E">
        <w:rPr>
          <w:rFonts w:ascii="Calibri" w:hAnsi="Calibri" w:cs="Calibri"/>
          <w:noProof/>
        </w:rPr>
        <w:t>. godine</w:t>
      </w:r>
      <w:r w:rsidR="004A4C21">
        <w:rPr>
          <w:rFonts w:ascii="Calibri" w:hAnsi="Calibri" w:cs="Calibri"/>
          <w:noProof/>
        </w:rPr>
        <w:t>,</w:t>
      </w:r>
      <w:r w:rsidRPr="00A47E7E">
        <w:rPr>
          <w:rFonts w:ascii="Calibri" w:hAnsi="Calibri" w:cs="Calibri"/>
          <w:noProof/>
        </w:rPr>
        <w:t xml:space="preserve"> a na osnovu liste akcionara u Centralnom registru hartija od vrijednosti Republike Srpske.</w:t>
      </w:r>
    </w:p>
    <w:p w:rsidR="009832DC" w:rsidRPr="00A47E7E" w:rsidRDefault="00493360" w:rsidP="009832DC">
      <w:pPr>
        <w:pStyle w:val="BodyTextIndent"/>
        <w:suppressAutoHyphens/>
        <w:ind w:left="0"/>
        <w:jc w:val="both"/>
        <w:rPr>
          <w:rFonts w:ascii="Calibri" w:hAnsi="Calibri" w:cs="Calibri"/>
          <w:noProof/>
        </w:rPr>
      </w:pPr>
      <w:r>
        <w:rPr>
          <w:rFonts w:ascii="Calibri" w:hAnsi="Calibri" w:cs="Calibri"/>
          <w:noProof/>
        </w:rPr>
        <w:t>Na dan 3</w:t>
      </w:r>
      <w:r w:rsidR="002311D2">
        <w:rPr>
          <w:rFonts w:ascii="Calibri" w:hAnsi="Calibri" w:cs="Calibri"/>
          <w:noProof/>
        </w:rPr>
        <w:t>0</w:t>
      </w:r>
      <w:r w:rsidR="004D7FAB">
        <w:rPr>
          <w:rFonts w:ascii="Calibri" w:hAnsi="Calibri" w:cs="Calibri"/>
          <w:noProof/>
        </w:rPr>
        <w:t xml:space="preserve">. </w:t>
      </w:r>
      <w:r>
        <w:rPr>
          <w:rFonts w:ascii="Calibri" w:hAnsi="Calibri" w:cs="Calibri"/>
          <w:noProof/>
        </w:rPr>
        <w:t>jun</w:t>
      </w:r>
      <w:r w:rsidR="00C442E1">
        <w:rPr>
          <w:rFonts w:ascii="Calibri" w:hAnsi="Calibri" w:cs="Calibri"/>
          <w:noProof/>
        </w:rPr>
        <w:t xml:space="preserve"> 2021</w:t>
      </w:r>
      <w:r w:rsidR="003457FC" w:rsidRPr="00A47E7E">
        <w:rPr>
          <w:rFonts w:ascii="Calibri" w:hAnsi="Calibri" w:cs="Calibri"/>
          <w:noProof/>
        </w:rPr>
        <w:t xml:space="preserve">. godine </w:t>
      </w:r>
      <w:r w:rsidR="00284F2B" w:rsidRPr="00A47E7E">
        <w:rPr>
          <w:rFonts w:ascii="Calibri" w:hAnsi="Calibri" w:cs="Calibri"/>
          <w:noProof/>
        </w:rPr>
        <w:t>broj udjela iznosi</w:t>
      </w:r>
      <w:r w:rsidR="003457FC" w:rsidRPr="00A47E7E">
        <w:rPr>
          <w:rFonts w:ascii="Calibri" w:hAnsi="Calibri" w:cs="Calibri"/>
          <w:noProof/>
        </w:rPr>
        <w:t xml:space="preserve"> </w:t>
      </w:r>
      <w:r w:rsidR="00C442E1">
        <w:rPr>
          <w:rFonts w:ascii="Calibri" w:hAnsi="Calibri" w:cs="Calibri"/>
          <w:noProof/>
        </w:rPr>
        <w:t>62</w:t>
      </w:r>
      <w:r w:rsidR="004D7FAB">
        <w:rPr>
          <w:rFonts w:ascii="Calibri" w:hAnsi="Calibri" w:cs="Calibri"/>
          <w:noProof/>
        </w:rPr>
        <w:t>.</w:t>
      </w:r>
      <w:r>
        <w:rPr>
          <w:rFonts w:ascii="Calibri" w:hAnsi="Calibri" w:cs="Calibri"/>
          <w:noProof/>
        </w:rPr>
        <w:t>112.570</w:t>
      </w: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1" w:name="_Toc64534458"/>
      <w:r w:rsidRPr="00A47E7E">
        <w:rPr>
          <w:rFonts w:ascii="Calibri" w:hAnsi="Calibri" w:cs="Calibri"/>
          <w:noProof/>
          <w:sz w:val="24"/>
          <w:szCs w:val="24"/>
        </w:rPr>
        <w:t>Revalorizacione rezerve po osnovu finansijskih sredstava raspoloživih za prodaju</w:t>
      </w:r>
      <w:bookmarkEnd w:id="31"/>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493360">
        <w:rPr>
          <w:rFonts w:ascii="Calibri" w:hAnsi="Calibri" w:cs="Calibri"/>
          <w:noProof/>
        </w:rPr>
        <w:t>oloživih za prodaju na dan 30</w:t>
      </w:r>
      <w:r w:rsidR="006656AB">
        <w:rPr>
          <w:rFonts w:ascii="Calibri" w:hAnsi="Calibri" w:cs="Calibri"/>
          <w:noProof/>
        </w:rPr>
        <w:t xml:space="preserve">. </w:t>
      </w:r>
      <w:r w:rsidR="00493360">
        <w:rPr>
          <w:rFonts w:ascii="Calibri" w:hAnsi="Calibri" w:cs="Calibri"/>
          <w:noProof/>
        </w:rPr>
        <w:t>jun</w:t>
      </w:r>
      <w:r w:rsidR="00C442E1">
        <w:rPr>
          <w:rFonts w:ascii="Calibri" w:hAnsi="Calibri" w:cs="Calibri"/>
          <w:noProof/>
        </w:rPr>
        <w:t xml:space="preserve"> 2021</w:t>
      </w:r>
      <w:r w:rsidRPr="00A47E7E">
        <w:rPr>
          <w:rFonts w:ascii="Calibri" w:hAnsi="Calibri" w:cs="Calibri"/>
          <w:noProof/>
        </w:rPr>
        <w:t xml:space="preserve">. godine </w:t>
      </w:r>
      <w:r w:rsidRPr="00130798">
        <w:rPr>
          <w:rFonts w:ascii="Calibri" w:hAnsi="Calibri" w:cs="Calibri"/>
          <w:noProof/>
        </w:rPr>
        <w:t xml:space="preserve">iznose </w:t>
      </w:r>
      <w:r w:rsidR="00493360">
        <w:rPr>
          <w:rFonts w:ascii="Calibri" w:hAnsi="Calibri" w:cs="Calibri"/>
          <w:noProof/>
        </w:rPr>
        <w:t>5.597</w:t>
      </w:r>
      <w:r w:rsidR="003259E6">
        <w:rPr>
          <w:rFonts w:ascii="Calibri" w:hAnsi="Calibri" w:cs="Calibri"/>
          <w:noProof/>
        </w:rPr>
        <w:t xml:space="preserve"> Konvertibilne marke</w:t>
      </w:r>
      <w:r w:rsidR="004A4C21">
        <w:rPr>
          <w:rFonts w:ascii="Calibri" w:hAnsi="Calibri" w:cs="Calibri"/>
          <w:noProof/>
        </w:rPr>
        <w:t xml:space="preserve"> </w:t>
      </w:r>
      <w:r w:rsidRPr="00A47E7E">
        <w:rPr>
          <w:rFonts w:ascii="Calibri" w:hAnsi="Calibri" w:cs="Calibri"/>
          <w:noProof/>
        </w:rPr>
        <w:t xml:space="preserve">i predstavljaju akumulirane nerealizovane </w:t>
      </w:r>
      <w:r w:rsidR="00130798">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w:t>
      </w:r>
      <w:r w:rsidRPr="001975D5">
        <w:rPr>
          <w:rFonts w:ascii="Calibri" w:hAnsi="Calibri" w:cs="Calibri"/>
          <w:noProof/>
        </w:rPr>
        <w:t>kao "finansijska sredstva raspoloživa</w:t>
      </w:r>
      <w:r w:rsidRPr="004D7FAB">
        <w:rPr>
          <w:rFonts w:ascii="Calibri" w:hAnsi="Calibri" w:cs="Calibri"/>
          <w:noProof/>
        </w:rPr>
        <w:t xml:space="preserve"> za</w:t>
      </w:r>
      <w:r w:rsidRPr="00A47E7E">
        <w:rPr>
          <w:rFonts w:ascii="Calibri" w:hAnsi="Calibri" w:cs="Calibri"/>
          <w:noProof/>
        </w:rPr>
        <w:t xml:space="preserve"> prodaju", a u skladu sa IAS 39 "Finansijski instrumenti: priznavanje i odmjeravanje", po </w:t>
      </w:r>
      <w:r w:rsidRPr="00A47E7E">
        <w:rPr>
          <w:rFonts w:ascii="Calibri" w:hAnsi="Calibri" w:cs="Calibri"/>
          <w:noProof/>
        </w:rPr>
        <w:lastRenderedPageBreak/>
        <w:t>kojem se dobitak ili gubitak koji se javlja usljed promjene fer vrijednosti finansijskog 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2" w:name="_Toc64534459"/>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2"/>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w:t>
      </w:r>
      <w:r w:rsidR="00493360">
        <w:rPr>
          <w:rFonts w:ascii="Calibri" w:hAnsi="Calibri" w:cs="Calibri"/>
          <w:noProof/>
        </w:rPr>
        <w:t>ti kroz bilans uspjeha na dan 30</w:t>
      </w:r>
      <w:r w:rsidRPr="00A47E7E">
        <w:rPr>
          <w:rFonts w:ascii="Calibri" w:hAnsi="Calibri" w:cs="Calibri"/>
          <w:noProof/>
        </w:rPr>
        <w:t xml:space="preserve">. </w:t>
      </w:r>
      <w:r w:rsidR="00493360">
        <w:rPr>
          <w:rFonts w:ascii="Calibri" w:hAnsi="Calibri" w:cs="Calibri"/>
          <w:noProof/>
        </w:rPr>
        <w:t>jun</w:t>
      </w:r>
      <w:r w:rsidR="00B00F21">
        <w:rPr>
          <w:rFonts w:ascii="Calibri" w:hAnsi="Calibri" w:cs="Calibri"/>
          <w:noProof/>
        </w:rPr>
        <w:t xml:space="preserve"> 2021</w:t>
      </w:r>
      <w:r w:rsidRPr="00A47E7E">
        <w:rPr>
          <w:rFonts w:ascii="Calibri" w:hAnsi="Calibri" w:cs="Calibri"/>
          <w:noProof/>
        </w:rPr>
        <w:t xml:space="preserve">. godine iznose  </w:t>
      </w:r>
      <w:r w:rsidR="00B00F21">
        <w:rPr>
          <w:rFonts w:ascii="Calibri" w:hAnsi="Calibri" w:cs="Calibri"/>
          <w:noProof/>
        </w:rPr>
        <w:t>128.135</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3" w:name="_Toc64534460"/>
      <w:r w:rsidRPr="00A47E7E">
        <w:rPr>
          <w:rFonts w:ascii="Calibri" w:hAnsi="Calibri" w:cs="Calibri"/>
          <w:noProof/>
          <w:sz w:val="24"/>
          <w:szCs w:val="24"/>
        </w:rPr>
        <w:t>ZARADA / (GUBITAK) PO UDJELU</w:t>
      </w:r>
      <w:bookmarkEnd w:id="33"/>
    </w:p>
    <w:tbl>
      <w:tblPr>
        <w:tblW w:w="8632" w:type="dxa"/>
        <w:tblInd w:w="99" w:type="dxa"/>
        <w:tblLook w:val="04A0" w:firstRow="1" w:lastRow="0" w:firstColumn="1" w:lastColumn="0" w:noHBand="0" w:noVBand="1"/>
      </w:tblPr>
      <w:tblGrid>
        <w:gridCol w:w="5160"/>
        <w:gridCol w:w="2040"/>
        <w:gridCol w:w="1432"/>
      </w:tblGrid>
      <w:tr w:rsidR="00121128" w:rsidRPr="0042069D" w:rsidTr="00BB3F91">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jc w:val="center"/>
              <w:rPr>
                <w:rFonts w:ascii="Calibri" w:hAnsi="Calibri"/>
                <w:b/>
                <w:bCs/>
                <w:color w:val="000000"/>
              </w:rPr>
            </w:pPr>
            <w:r>
              <w:rPr>
                <w:rFonts w:ascii="Calibri" w:hAnsi="Calibri"/>
                <w:b/>
                <w:bCs/>
                <w:color w:val="000000"/>
              </w:rPr>
              <w:t>20</w:t>
            </w:r>
            <w:r w:rsidR="00F71AA5">
              <w:rPr>
                <w:rFonts w:ascii="Calibri" w:hAnsi="Calibri"/>
                <w:b/>
                <w:bCs/>
                <w:color w:val="000000"/>
              </w:rPr>
              <w:t>2</w:t>
            </w:r>
            <w:r w:rsidR="00C6368C">
              <w:rPr>
                <w:rFonts w:ascii="Calibri" w:hAnsi="Calibri"/>
                <w:b/>
                <w:bCs/>
                <w:color w:val="000000"/>
              </w:rPr>
              <w:t>1</w:t>
            </w:r>
          </w:p>
        </w:tc>
        <w:tc>
          <w:tcPr>
            <w:tcW w:w="1432" w:type="dxa"/>
            <w:tcBorders>
              <w:top w:val="nil"/>
              <w:left w:val="nil"/>
              <w:bottom w:val="nil"/>
              <w:right w:val="nil"/>
            </w:tcBorders>
            <w:shd w:val="clear" w:color="000000" w:fill="FFFFFF"/>
            <w:noWrap/>
            <w:vAlign w:val="bottom"/>
            <w:hideMark/>
          </w:tcPr>
          <w:p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C6368C">
              <w:rPr>
                <w:rFonts w:ascii="Calibri" w:hAnsi="Calibri"/>
                <w:b/>
                <w:bCs/>
                <w:color w:val="000000"/>
                <w:lang w:val="sr-Latn-BA" w:eastAsia="sr-Latn-BA"/>
              </w:rPr>
              <w:t>20</w:t>
            </w:r>
          </w:p>
        </w:tc>
      </w:tr>
      <w:tr w:rsidR="000358C3" w:rsidRPr="0042069D" w:rsidTr="00BB3F91">
        <w:trPr>
          <w:trHeight w:val="310"/>
        </w:trPr>
        <w:tc>
          <w:tcPr>
            <w:tcW w:w="5160" w:type="dxa"/>
            <w:tcBorders>
              <w:top w:val="nil"/>
              <w:left w:val="nil"/>
              <w:bottom w:val="nil"/>
              <w:right w:val="nil"/>
            </w:tcBorders>
            <w:shd w:val="clear" w:color="000000" w:fill="FFFFFF"/>
            <w:noWrap/>
            <w:vAlign w:val="bottom"/>
          </w:tcPr>
          <w:p w:rsidR="000358C3" w:rsidRPr="0042069D" w:rsidRDefault="004720D7" w:rsidP="0042069D">
            <w:pPr>
              <w:rPr>
                <w:rFonts w:ascii="Calibri" w:hAnsi="Calibri"/>
                <w:color w:val="000000"/>
                <w:lang w:val="sr-Latn-BA" w:eastAsia="sr-Latn-BA"/>
              </w:rPr>
            </w:pPr>
            <w:r>
              <w:rPr>
                <w:rFonts w:ascii="Calibri" w:hAnsi="Calibri"/>
                <w:color w:val="000000"/>
                <w:lang w:val="sr-Latn-BA" w:eastAsia="sr-Latn-BA"/>
              </w:rPr>
              <w:t>D</w:t>
            </w:r>
            <w:r w:rsidR="000358C3" w:rsidRPr="0042069D">
              <w:rPr>
                <w:rFonts w:ascii="Calibri" w:hAnsi="Calibri"/>
                <w:color w:val="000000"/>
                <w:lang w:val="sr-Latn-BA" w:eastAsia="sr-Latn-BA"/>
              </w:rPr>
              <w:t>obitak/ (gubitak) obračunskog perioda</w:t>
            </w:r>
            <w:r w:rsidR="005C41E2">
              <w:rPr>
                <w:rFonts w:ascii="Calibri" w:hAnsi="Calibri"/>
                <w:color w:val="000000"/>
                <w:lang w:val="sr-Latn-BA" w:eastAsia="sr-Latn-BA"/>
              </w:rPr>
              <w:t>-poslovanje</w:t>
            </w:r>
          </w:p>
        </w:tc>
        <w:tc>
          <w:tcPr>
            <w:tcW w:w="2040" w:type="dxa"/>
            <w:tcBorders>
              <w:top w:val="nil"/>
              <w:left w:val="nil"/>
              <w:bottom w:val="nil"/>
              <w:right w:val="nil"/>
            </w:tcBorders>
            <w:shd w:val="clear" w:color="000000" w:fill="FFFFFF"/>
            <w:noWrap/>
            <w:vAlign w:val="bottom"/>
          </w:tcPr>
          <w:p w:rsidR="000358C3" w:rsidRPr="004720D7" w:rsidRDefault="0061007F" w:rsidP="00493360">
            <w:pPr>
              <w:jc w:val="right"/>
              <w:rPr>
                <w:rFonts w:ascii="Calibri" w:hAnsi="Calibri"/>
                <w:bCs/>
                <w:color w:val="000000"/>
              </w:rPr>
            </w:pPr>
            <w:r>
              <w:rPr>
                <w:rFonts w:ascii="Calibri" w:hAnsi="Calibri"/>
                <w:bCs/>
                <w:color w:val="000000"/>
              </w:rPr>
              <w:t>(</w:t>
            </w:r>
            <w:r w:rsidR="00493360">
              <w:rPr>
                <w:rFonts w:ascii="Calibri" w:hAnsi="Calibri"/>
                <w:bCs/>
                <w:color w:val="000000"/>
              </w:rPr>
              <w:t>27.344</w:t>
            </w:r>
            <w:r>
              <w:rPr>
                <w:rFonts w:ascii="Calibri" w:hAnsi="Calibri"/>
                <w:bCs/>
                <w:color w:val="000000"/>
              </w:rPr>
              <w:t>)</w:t>
            </w:r>
          </w:p>
        </w:tc>
        <w:tc>
          <w:tcPr>
            <w:tcW w:w="1432" w:type="dxa"/>
            <w:tcBorders>
              <w:top w:val="nil"/>
              <w:left w:val="nil"/>
              <w:bottom w:val="nil"/>
              <w:right w:val="nil"/>
            </w:tcBorders>
            <w:shd w:val="clear" w:color="000000" w:fill="FFFFFF"/>
            <w:noWrap/>
            <w:vAlign w:val="bottom"/>
          </w:tcPr>
          <w:p w:rsidR="000358C3" w:rsidRPr="00BB45EB" w:rsidRDefault="0078416E" w:rsidP="004D4EEB">
            <w:pPr>
              <w:jc w:val="right"/>
              <w:rPr>
                <w:rFonts w:ascii="Calibri" w:hAnsi="Calibri"/>
                <w:bCs/>
                <w:color w:val="000000"/>
                <w:lang w:val="sr-Latn-BA" w:eastAsia="sr-Latn-BA"/>
              </w:rPr>
            </w:pPr>
            <w:r>
              <w:rPr>
                <w:rFonts w:ascii="Calibri" w:hAnsi="Calibri"/>
                <w:bCs/>
                <w:color w:val="000000"/>
                <w:lang w:val="sr-Latn-BA" w:eastAsia="sr-Latn-BA"/>
              </w:rPr>
              <w:t>(</w:t>
            </w:r>
            <w:r w:rsidR="004D4EEB">
              <w:rPr>
                <w:rFonts w:ascii="Calibri" w:hAnsi="Calibri"/>
                <w:bCs/>
                <w:color w:val="000000"/>
                <w:lang w:val="sr-Latn-BA" w:eastAsia="sr-Latn-BA"/>
              </w:rPr>
              <w:t>48.705</w:t>
            </w:r>
            <w:r>
              <w:rPr>
                <w:rFonts w:ascii="Calibri" w:hAnsi="Calibri"/>
                <w:bCs/>
                <w:color w:val="000000"/>
                <w:lang w:val="sr-Latn-BA" w:eastAsia="sr-Latn-BA"/>
              </w:rPr>
              <w:t>)</w:t>
            </w:r>
          </w:p>
        </w:tc>
      </w:tr>
      <w:tr w:rsidR="009659CB" w:rsidRPr="00BB45EB" w:rsidTr="004720D7">
        <w:trPr>
          <w:trHeight w:val="521"/>
        </w:trPr>
        <w:tc>
          <w:tcPr>
            <w:tcW w:w="5160" w:type="dxa"/>
            <w:tcBorders>
              <w:top w:val="nil"/>
              <w:left w:val="nil"/>
              <w:bottom w:val="nil"/>
              <w:right w:val="nil"/>
            </w:tcBorders>
            <w:shd w:val="clear" w:color="000000" w:fill="FFFFFF"/>
            <w:vAlign w:val="center"/>
            <w:hideMark/>
          </w:tcPr>
          <w:p w:rsidR="009659CB" w:rsidRPr="0042069D" w:rsidRDefault="004720D7" w:rsidP="000C0214">
            <w:pPr>
              <w:rPr>
                <w:rFonts w:ascii="Calibri" w:hAnsi="Calibri"/>
                <w:color w:val="000000"/>
                <w:lang w:val="sr-Latn-BA" w:eastAsia="sr-Latn-BA"/>
              </w:rPr>
            </w:pPr>
            <w:r>
              <w:rPr>
                <w:rFonts w:ascii="Calibri" w:hAnsi="Calibri"/>
                <w:color w:val="000000"/>
                <w:lang w:val="sr-Latn-BA" w:eastAsia="sr-Latn-BA"/>
              </w:rPr>
              <w:t>Ukupan d</w:t>
            </w:r>
            <w:r w:rsidR="009659CB" w:rsidRPr="0042069D">
              <w:rPr>
                <w:rFonts w:ascii="Calibri" w:hAnsi="Calibri"/>
                <w:color w:val="000000"/>
                <w:lang w:val="sr-Latn-BA" w:eastAsia="sr-Latn-BA"/>
              </w:rPr>
              <w:t xml:space="preserve">obitak/ (gubitak) obračunskog perioda </w:t>
            </w:r>
          </w:p>
        </w:tc>
        <w:tc>
          <w:tcPr>
            <w:tcW w:w="2040" w:type="dxa"/>
            <w:tcBorders>
              <w:top w:val="nil"/>
              <w:left w:val="nil"/>
              <w:bottom w:val="nil"/>
              <w:right w:val="nil"/>
            </w:tcBorders>
            <w:shd w:val="clear" w:color="000000" w:fill="FFFFFF"/>
            <w:noWrap/>
            <w:vAlign w:val="bottom"/>
            <w:hideMark/>
          </w:tcPr>
          <w:p w:rsidR="009659CB" w:rsidRDefault="009659CB" w:rsidP="00BB3F91">
            <w:pPr>
              <w:jc w:val="right"/>
              <w:rPr>
                <w:rFonts w:ascii="Calibri" w:hAnsi="Calibri"/>
                <w:color w:val="000000"/>
              </w:rPr>
            </w:pPr>
            <w:r>
              <w:rPr>
                <w:rFonts w:ascii="Calibri" w:hAnsi="Calibri"/>
                <w:color w:val="000000"/>
              </w:rPr>
              <w:t xml:space="preserve">                </w:t>
            </w:r>
          </w:p>
          <w:p w:rsidR="009659CB" w:rsidRDefault="009659CB" w:rsidP="00493360">
            <w:pPr>
              <w:jc w:val="right"/>
              <w:rPr>
                <w:rFonts w:ascii="Calibri" w:hAnsi="Calibri"/>
                <w:color w:val="000000"/>
              </w:rPr>
            </w:pPr>
            <w:r>
              <w:rPr>
                <w:rFonts w:ascii="Calibri" w:hAnsi="Calibri"/>
                <w:color w:val="000000"/>
              </w:rPr>
              <w:t xml:space="preserve">                  </w:t>
            </w:r>
            <w:r w:rsidR="0061007F">
              <w:rPr>
                <w:rFonts w:ascii="Calibri" w:hAnsi="Calibri"/>
                <w:color w:val="000000"/>
              </w:rPr>
              <w:t>(</w:t>
            </w:r>
            <w:r w:rsidR="00493360">
              <w:rPr>
                <w:rFonts w:ascii="Calibri" w:hAnsi="Calibri"/>
                <w:color w:val="000000"/>
              </w:rPr>
              <w:t>27.344</w:t>
            </w:r>
            <w:r w:rsidR="0061007F">
              <w:rPr>
                <w:rFonts w:ascii="Calibri" w:hAnsi="Calibri"/>
                <w:color w:val="000000"/>
              </w:rPr>
              <w:t>)</w:t>
            </w:r>
            <w:r>
              <w:rPr>
                <w:rFonts w:ascii="Calibri" w:hAnsi="Calibri"/>
                <w:color w:val="000000"/>
              </w:rPr>
              <w:t xml:space="preserve">    </w:t>
            </w:r>
          </w:p>
        </w:tc>
        <w:tc>
          <w:tcPr>
            <w:tcW w:w="1432" w:type="dxa"/>
            <w:tcBorders>
              <w:top w:val="nil"/>
              <w:left w:val="nil"/>
              <w:bottom w:val="nil"/>
              <w:right w:val="nil"/>
            </w:tcBorders>
            <w:shd w:val="clear" w:color="000000" w:fill="FFFFFF"/>
            <w:noWrap/>
            <w:vAlign w:val="bottom"/>
            <w:hideMark/>
          </w:tcPr>
          <w:p w:rsidR="009659CB" w:rsidRPr="00BB45EB" w:rsidRDefault="0078416E" w:rsidP="004D4EEB">
            <w:pPr>
              <w:jc w:val="right"/>
              <w:rPr>
                <w:rFonts w:ascii="Calibri" w:hAnsi="Calibri"/>
                <w:color w:val="000000"/>
              </w:rPr>
            </w:pPr>
            <w:r>
              <w:rPr>
                <w:rFonts w:ascii="Calibri" w:hAnsi="Calibri"/>
                <w:bCs/>
                <w:color w:val="000000"/>
                <w:lang w:val="sr-Latn-BA" w:eastAsia="sr-Latn-BA"/>
              </w:rPr>
              <w:t>(</w:t>
            </w:r>
            <w:r w:rsidR="004D4EEB">
              <w:rPr>
                <w:rFonts w:ascii="Calibri" w:hAnsi="Calibri"/>
                <w:bCs/>
                <w:color w:val="000000"/>
                <w:lang w:val="sr-Latn-BA" w:eastAsia="sr-Latn-BA"/>
              </w:rPr>
              <w:t>48.705</w:t>
            </w:r>
            <w:r>
              <w:rPr>
                <w:rFonts w:ascii="Calibri" w:hAnsi="Calibri"/>
                <w:bCs/>
                <w:color w:val="000000"/>
                <w:lang w:val="sr-Latn-BA" w:eastAsia="sr-Latn-BA"/>
              </w:rPr>
              <w:t>)</w:t>
            </w:r>
            <w:r w:rsidR="009659CB" w:rsidRPr="00BB45EB">
              <w:rPr>
                <w:rFonts w:ascii="Calibri" w:hAnsi="Calibri"/>
                <w:color w:val="000000"/>
                <w:lang w:val="sr-Latn-BA" w:eastAsia="sr-Latn-BA"/>
              </w:rPr>
              <w:t xml:space="preserve">                 </w:t>
            </w:r>
            <w:r w:rsidR="00F71AA5" w:rsidRPr="00BB45EB">
              <w:rPr>
                <w:rFonts w:ascii="Calibri" w:hAnsi="Calibri"/>
                <w:color w:val="000000"/>
              </w:rPr>
              <w:t xml:space="preserve"> </w:t>
            </w:r>
          </w:p>
        </w:tc>
      </w:tr>
      <w:tr w:rsidR="00BB3F91" w:rsidRPr="0042069D" w:rsidTr="00BB3F91">
        <w:trPr>
          <w:trHeight w:val="310"/>
        </w:trPr>
        <w:tc>
          <w:tcPr>
            <w:tcW w:w="5160" w:type="dxa"/>
            <w:tcBorders>
              <w:top w:val="nil"/>
              <w:left w:val="nil"/>
              <w:bottom w:val="nil"/>
              <w:right w:val="nil"/>
            </w:tcBorders>
            <w:shd w:val="clear" w:color="000000" w:fill="FFFFFF"/>
            <w:noWrap/>
            <w:vAlign w:val="bottom"/>
            <w:hideMark/>
          </w:tcPr>
          <w:p w:rsidR="00BB3F91" w:rsidRPr="0042069D" w:rsidRDefault="00BB3F91" w:rsidP="0042069D">
            <w:pPr>
              <w:rPr>
                <w:rFonts w:ascii="Calibri" w:hAnsi="Calibri"/>
                <w:color w:val="000000"/>
                <w:lang w:val="sr-Latn-BA" w:eastAsia="sr-Latn-BA"/>
              </w:rPr>
            </w:pPr>
            <w:r>
              <w:rPr>
                <w:rFonts w:ascii="Calibri" w:hAnsi="Calibri"/>
                <w:color w:val="000000"/>
                <w:lang w:val="sr-Latn-BA" w:eastAsia="sr-Latn-BA"/>
              </w:rPr>
              <w:t xml:space="preserve">Prosječan ponderisan broj izdatih udjela </w:t>
            </w:r>
          </w:p>
        </w:tc>
        <w:tc>
          <w:tcPr>
            <w:tcW w:w="2040" w:type="dxa"/>
            <w:tcBorders>
              <w:top w:val="nil"/>
              <w:left w:val="nil"/>
              <w:bottom w:val="nil"/>
              <w:right w:val="nil"/>
            </w:tcBorders>
            <w:shd w:val="clear" w:color="000000" w:fill="FFFFFF"/>
            <w:noWrap/>
            <w:vAlign w:val="bottom"/>
            <w:hideMark/>
          </w:tcPr>
          <w:p w:rsidR="00BB3F91" w:rsidRPr="00C6368C" w:rsidRDefault="00493360" w:rsidP="009154E1">
            <w:pPr>
              <w:jc w:val="right"/>
              <w:rPr>
                <w:rFonts w:ascii="Calibri" w:hAnsi="Calibri"/>
                <w:color w:val="000000"/>
                <w:highlight w:val="yellow"/>
              </w:rPr>
            </w:pPr>
            <w:r>
              <w:rPr>
                <w:rFonts w:ascii="Calibri" w:hAnsi="Calibri"/>
                <w:color w:val="000000"/>
              </w:rPr>
              <w:t>66.089.554</w:t>
            </w:r>
          </w:p>
        </w:tc>
        <w:tc>
          <w:tcPr>
            <w:tcW w:w="1432" w:type="dxa"/>
            <w:tcBorders>
              <w:top w:val="nil"/>
              <w:left w:val="nil"/>
              <w:bottom w:val="nil"/>
              <w:right w:val="nil"/>
            </w:tcBorders>
            <w:shd w:val="clear" w:color="000000" w:fill="FFFFFF"/>
            <w:noWrap/>
            <w:vAlign w:val="bottom"/>
            <w:hideMark/>
          </w:tcPr>
          <w:p w:rsidR="00BB3F91" w:rsidRPr="00333EE5" w:rsidRDefault="00333EE5" w:rsidP="004D4EEB">
            <w:pPr>
              <w:jc w:val="right"/>
              <w:rPr>
                <w:rFonts w:ascii="Calibri" w:hAnsi="Calibri"/>
                <w:color w:val="000000"/>
                <w:lang w:val="sr-Latn-BA" w:eastAsia="sr-Latn-BA"/>
              </w:rPr>
            </w:pPr>
            <w:r w:rsidRPr="00333EE5">
              <w:rPr>
                <w:rFonts w:ascii="Calibri" w:hAnsi="Calibri"/>
                <w:color w:val="000000"/>
                <w:lang w:val="sr-Latn-BA" w:eastAsia="sr-Latn-BA"/>
              </w:rPr>
              <w:t>129.</w:t>
            </w:r>
            <w:r w:rsidR="004D4EEB">
              <w:rPr>
                <w:rFonts w:ascii="Calibri" w:hAnsi="Calibri"/>
                <w:color w:val="000000"/>
                <w:lang w:val="sr-Latn-BA" w:eastAsia="sr-Latn-BA"/>
              </w:rPr>
              <w:t>280.681</w:t>
            </w:r>
          </w:p>
        </w:tc>
      </w:tr>
      <w:tr w:rsidR="00BB3F91" w:rsidRPr="0042069D" w:rsidTr="00BB3F91">
        <w:trPr>
          <w:trHeight w:val="370"/>
        </w:trPr>
        <w:tc>
          <w:tcPr>
            <w:tcW w:w="5160" w:type="dxa"/>
            <w:tcBorders>
              <w:top w:val="nil"/>
              <w:left w:val="nil"/>
              <w:bottom w:val="nil"/>
              <w:right w:val="nil"/>
            </w:tcBorders>
            <w:shd w:val="clear" w:color="000000" w:fill="FFFFFF"/>
            <w:noWrap/>
            <w:vAlign w:val="bottom"/>
            <w:hideMark/>
          </w:tcPr>
          <w:p w:rsidR="00BB3F91" w:rsidRPr="0042069D" w:rsidRDefault="00BB3F91"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BB3F91" w:rsidRDefault="00452826" w:rsidP="000A4F0D">
            <w:pPr>
              <w:jc w:val="right"/>
              <w:rPr>
                <w:rFonts w:ascii="Calibri" w:hAnsi="Calibri"/>
                <w:b/>
                <w:bCs/>
                <w:color w:val="000000"/>
                <w:u w:val="single"/>
              </w:rPr>
            </w:pPr>
            <w:r>
              <w:rPr>
                <w:rFonts w:ascii="Calibri" w:hAnsi="Calibri"/>
                <w:b/>
                <w:bCs/>
                <w:color w:val="000000"/>
                <w:u w:val="single"/>
              </w:rPr>
              <w:t xml:space="preserve">         </w:t>
            </w:r>
            <w:r w:rsidR="0061007F">
              <w:rPr>
                <w:rFonts w:ascii="Calibri" w:hAnsi="Calibri"/>
                <w:b/>
                <w:bCs/>
                <w:color w:val="000000"/>
                <w:u w:val="single"/>
              </w:rPr>
              <w:t xml:space="preserve">        (</w:t>
            </w:r>
            <w:r w:rsidR="004720D7">
              <w:rPr>
                <w:rFonts w:ascii="Calibri" w:hAnsi="Calibri"/>
                <w:b/>
                <w:bCs/>
                <w:color w:val="000000"/>
                <w:u w:val="single"/>
              </w:rPr>
              <w:t>0,0</w:t>
            </w:r>
            <w:r w:rsidR="00493360">
              <w:rPr>
                <w:rFonts w:ascii="Calibri" w:hAnsi="Calibri"/>
                <w:b/>
                <w:bCs/>
                <w:color w:val="000000"/>
                <w:u w:val="single"/>
              </w:rPr>
              <w:t>004</w:t>
            </w:r>
            <w:r w:rsidR="0061007F">
              <w:rPr>
                <w:rFonts w:ascii="Calibri" w:hAnsi="Calibri"/>
                <w:b/>
                <w:bCs/>
                <w:color w:val="000000"/>
                <w:u w:val="single"/>
              </w:rPr>
              <w:t>)</w:t>
            </w:r>
            <w:r w:rsidR="00BB3F91">
              <w:rPr>
                <w:rFonts w:ascii="Calibri" w:hAnsi="Calibri"/>
                <w:b/>
                <w:bCs/>
                <w:color w:val="000000"/>
                <w:u w:val="single"/>
              </w:rPr>
              <w:t xml:space="preserve">       </w:t>
            </w:r>
          </w:p>
        </w:tc>
        <w:tc>
          <w:tcPr>
            <w:tcW w:w="1432" w:type="dxa"/>
            <w:tcBorders>
              <w:top w:val="nil"/>
              <w:left w:val="nil"/>
              <w:bottom w:val="nil"/>
              <w:right w:val="nil"/>
            </w:tcBorders>
            <w:shd w:val="clear" w:color="000000" w:fill="FFFFFF"/>
            <w:noWrap/>
            <w:vAlign w:val="bottom"/>
            <w:hideMark/>
          </w:tcPr>
          <w:p w:rsidR="00BB3F91" w:rsidRPr="0042069D" w:rsidRDefault="0078416E" w:rsidP="009154E1">
            <w:pPr>
              <w:jc w:val="right"/>
              <w:rPr>
                <w:rFonts w:ascii="Calibri" w:hAnsi="Calibri"/>
                <w:b/>
                <w:bCs/>
                <w:color w:val="000000"/>
                <w:u w:val="single"/>
                <w:lang w:val="sr-Latn-BA" w:eastAsia="sr-Latn-BA"/>
              </w:rPr>
            </w:pPr>
            <w:r>
              <w:rPr>
                <w:rFonts w:ascii="Calibri" w:hAnsi="Calibri"/>
                <w:b/>
                <w:bCs/>
                <w:color w:val="000000"/>
                <w:u w:val="single"/>
              </w:rPr>
              <w:t>(</w:t>
            </w:r>
            <w:r w:rsidR="00BB45EB">
              <w:rPr>
                <w:rFonts w:ascii="Calibri" w:hAnsi="Calibri"/>
                <w:b/>
                <w:bCs/>
                <w:color w:val="000000"/>
                <w:u w:val="single"/>
              </w:rPr>
              <w:t>0,0</w:t>
            </w:r>
            <w:r w:rsidR="006C08F6">
              <w:rPr>
                <w:rFonts w:ascii="Calibri" w:hAnsi="Calibri"/>
                <w:b/>
                <w:bCs/>
                <w:color w:val="000000"/>
                <w:u w:val="single"/>
              </w:rPr>
              <w:t>00</w:t>
            </w:r>
            <w:r w:rsidR="004D4EEB">
              <w:rPr>
                <w:rFonts w:ascii="Calibri" w:hAnsi="Calibri"/>
                <w:b/>
                <w:bCs/>
                <w:color w:val="000000"/>
                <w:u w:val="single"/>
              </w:rPr>
              <w:t>4</w:t>
            </w:r>
            <w:r>
              <w:rPr>
                <w:rFonts w:ascii="Calibri" w:hAnsi="Calibri"/>
                <w:b/>
                <w:bCs/>
                <w:color w:val="000000"/>
                <w:u w:val="single"/>
              </w:rPr>
              <w:t>)</w:t>
            </w:r>
            <w:r w:rsidR="00BB3F91">
              <w:rPr>
                <w:rFonts w:ascii="Calibri" w:hAnsi="Calibri"/>
                <w:b/>
                <w:bCs/>
                <w:color w:val="000000"/>
                <w:u w:val="single"/>
              </w:rPr>
              <w:t xml:space="preserve">      </w:t>
            </w:r>
          </w:p>
        </w:tc>
      </w:tr>
      <w:tr w:rsidR="00BB3F91" w:rsidRPr="0042069D" w:rsidTr="00BB3F91">
        <w:trPr>
          <w:trHeight w:val="290"/>
        </w:trPr>
        <w:tc>
          <w:tcPr>
            <w:tcW w:w="5160" w:type="dxa"/>
            <w:tcBorders>
              <w:top w:val="nil"/>
              <w:left w:val="nil"/>
              <w:bottom w:val="nil"/>
              <w:right w:val="nil"/>
            </w:tcBorders>
            <w:shd w:val="clear" w:color="auto" w:fill="auto"/>
            <w:noWrap/>
            <w:vAlign w:val="bottom"/>
            <w:hideMark/>
          </w:tcPr>
          <w:p w:rsidR="00BB3F91" w:rsidRPr="0042069D" w:rsidRDefault="00BB3F91"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BB3F91" w:rsidRDefault="00BB3F91">
            <w:pPr>
              <w:rPr>
                <w:rFonts w:ascii="Calibri" w:hAnsi="Calibri"/>
                <w:color w:val="000000"/>
                <w:sz w:val="22"/>
                <w:szCs w:val="22"/>
              </w:rPr>
            </w:pPr>
          </w:p>
        </w:tc>
        <w:tc>
          <w:tcPr>
            <w:tcW w:w="1432" w:type="dxa"/>
            <w:tcBorders>
              <w:top w:val="nil"/>
              <w:left w:val="nil"/>
              <w:bottom w:val="nil"/>
              <w:right w:val="nil"/>
            </w:tcBorders>
            <w:shd w:val="clear" w:color="auto" w:fill="auto"/>
            <w:noWrap/>
            <w:vAlign w:val="bottom"/>
            <w:hideMark/>
          </w:tcPr>
          <w:p w:rsidR="00BB3F91" w:rsidRPr="0042069D" w:rsidRDefault="00BB3F91" w:rsidP="0042069D">
            <w:pPr>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4" w:name="_Toc64534461"/>
      <w:r w:rsidRPr="00A47E7E">
        <w:rPr>
          <w:rFonts w:ascii="Calibri" w:hAnsi="Calibri" w:cs="Calibri"/>
          <w:noProof/>
          <w:sz w:val="24"/>
          <w:szCs w:val="24"/>
        </w:rPr>
        <w:t>TRANSAKCIJE SA POVEZANIM LICIMA</w:t>
      </w:r>
      <w:bookmarkEnd w:id="34"/>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firstRow="1" w:lastRow="0" w:firstColumn="1" w:lastColumn="0" w:noHBand="0" w:noVBand="1"/>
      </w:tblPr>
      <w:tblGrid>
        <w:gridCol w:w="6264"/>
        <w:gridCol w:w="1896"/>
        <w:gridCol w:w="1264"/>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5C62C3">
              <w:rPr>
                <w:rFonts w:ascii="Calibri" w:hAnsi="Calibri"/>
                <w:b/>
                <w:bCs/>
                <w:color w:val="000000"/>
                <w:lang w:val="sr-Latn-BA" w:eastAsia="sr-Latn-BA"/>
              </w:rPr>
              <w:t>2</w:t>
            </w:r>
            <w:r w:rsidR="00C6368C">
              <w:rPr>
                <w:rFonts w:ascii="Calibri" w:hAnsi="Calibri"/>
                <w:b/>
                <w:bCs/>
                <w:color w:val="000000"/>
                <w:lang w:val="sr-Latn-BA" w:eastAsia="sr-Latn-BA"/>
              </w:rPr>
              <w:t>1</w:t>
            </w:r>
          </w:p>
        </w:tc>
        <w:tc>
          <w:tcPr>
            <w:tcW w:w="1264"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C6368C">
              <w:rPr>
                <w:rFonts w:ascii="Calibri" w:hAnsi="Calibri"/>
                <w:b/>
                <w:bCs/>
                <w:color w:val="000000"/>
                <w:lang w:val="sr-Latn-BA" w:eastAsia="sr-Latn-BA"/>
              </w:rPr>
              <w:t>20</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61007F">
        <w:trPr>
          <w:trHeight w:val="36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Rashodi od provizija za upravljanje Fondom- Kristal Invest ad </w:t>
            </w:r>
          </w:p>
        </w:tc>
        <w:tc>
          <w:tcPr>
            <w:tcW w:w="1896" w:type="dxa"/>
            <w:tcBorders>
              <w:top w:val="nil"/>
              <w:left w:val="nil"/>
              <w:bottom w:val="nil"/>
              <w:right w:val="nil"/>
            </w:tcBorders>
            <w:shd w:val="clear" w:color="000000" w:fill="FFFFFF"/>
            <w:noWrap/>
            <w:vAlign w:val="bottom"/>
            <w:hideMark/>
          </w:tcPr>
          <w:p w:rsidR="0042069D" w:rsidRPr="0042069D" w:rsidRDefault="00493360" w:rsidP="004720D7">
            <w:pPr>
              <w:jc w:val="right"/>
              <w:rPr>
                <w:rFonts w:ascii="Calibri" w:hAnsi="Calibri"/>
                <w:color w:val="000000"/>
                <w:lang w:val="sr-Latn-BA" w:eastAsia="sr-Latn-BA"/>
              </w:rPr>
            </w:pPr>
            <w:r>
              <w:rPr>
                <w:rFonts w:ascii="Calibri" w:hAnsi="Calibri"/>
                <w:color w:val="000000"/>
                <w:lang w:val="sr-Latn-BA" w:eastAsia="sr-Latn-BA"/>
              </w:rPr>
              <w:t>28.344</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auto" w:fill="auto"/>
            <w:noWrap/>
            <w:vAlign w:val="bottom"/>
            <w:hideMark/>
          </w:tcPr>
          <w:p w:rsidR="0042069D" w:rsidRPr="009112EB" w:rsidRDefault="004D4EEB" w:rsidP="0061007F">
            <w:pPr>
              <w:jc w:val="right"/>
              <w:rPr>
                <w:rFonts w:ascii="Calibri" w:hAnsi="Calibri"/>
                <w:color w:val="000000"/>
                <w:highlight w:val="yellow"/>
                <w:lang w:val="sr-Latn-BA" w:eastAsia="sr-Latn-BA"/>
              </w:rPr>
            </w:pPr>
            <w:r>
              <w:rPr>
                <w:rFonts w:ascii="Calibri" w:hAnsi="Calibri"/>
                <w:color w:val="000000"/>
                <w:lang w:val="sr-Latn-BA" w:eastAsia="sr-Latn-BA"/>
              </w:rPr>
              <w:t>54.593</w:t>
            </w:r>
            <w:r w:rsidR="0042069D" w:rsidRPr="0061007F">
              <w:rPr>
                <w:rFonts w:ascii="Calibri" w:hAnsi="Calibri"/>
                <w:color w:val="000000"/>
                <w:lang w:val="sr-Latn-BA" w:eastAsia="sr-Latn-BA"/>
              </w:rPr>
              <w:t xml:space="preserve">                  </w:t>
            </w:r>
            <w:r w:rsidR="005C62C3" w:rsidRPr="0061007F">
              <w:rPr>
                <w:rFonts w:ascii="Calibri" w:hAnsi="Calibri"/>
                <w:color w:val="000000"/>
                <w:lang w:val="sr-Latn-BA" w:eastAsia="sr-Latn-BA"/>
              </w:rPr>
              <w:t xml:space="preserve">             </w:t>
            </w:r>
          </w:p>
        </w:tc>
      </w:tr>
      <w:tr w:rsidR="0042069D" w:rsidRPr="0042069D" w:rsidTr="0042069D">
        <w:trPr>
          <w:trHeight w:val="45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42069D" w:rsidRPr="0042069D" w:rsidRDefault="009154E1" w:rsidP="00493360">
            <w:pPr>
              <w:jc w:val="right"/>
              <w:rPr>
                <w:rFonts w:ascii="Calibri" w:hAnsi="Calibri"/>
                <w:color w:val="000000"/>
                <w:lang w:val="sr-Latn-BA" w:eastAsia="sr-Latn-BA"/>
              </w:rPr>
            </w:pPr>
            <w:r>
              <w:rPr>
                <w:rFonts w:ascii="Calibri" w:hAnsi="Calibri"/>
                <w:color w:val="000000"/>
                <w:lang w:val="sr-Latn-BA" w:eastAsia="sr-Latn-BA"/>
              </w:rPr>
              <w:t xml:space="preserve">  </w:t>
            </w:r>
            <w:r w:rsidR="000426B7">
              <w:rPr>
                <w:rFonts w:ascii="Calibri" w:hAnsi="Calibri"/>
                <w:color w:val="000000"/>
                <w:lang w:val="sr-Latn-BA" w:eastAsia="sr-Latn-BA"/>
              </w:rPr>
              <w:t xml:space="preserve">                             </w:t>
            </w:r>
            <w:r w:rsidR="00493360">
              <w:rPr>
                <w:rFonts w:ascii="Calibri" w:hAnsi="Calibri"/>
                <w:color w:val="000000"/>
                <w:lang w:val="sr-Latn-BA" w:eastAsia="sr-Latn-BA"/>
              </w:rPr>
              <w:t>1.594</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9112EB" w:rsidRDefault="0042069D" w:rsidP="0061007F">
            <w:pPr>
              <w:jc w:val="right"/>
              <w:rPr>
                <w:rFonts w:ascii="Calibri" w:hAnsi="Calibri"/>
                <w:color w:val="000000"/>
                <w:highlight w:val="yellow"/>
                <w:lang w:val="sr-Latn-BA" w:eastAsia="sr-Latn-BA"/>
              </w:rPr>
            </w:pPr>
            <w:r w:rsidRPr="009112EB">
              <w:rPr>
                <w:rFonts w:ascii="Calibri" w:hAnsi="Calibri"/>
                <w:color w:val="000000"/>
                <w:highlight w:val="yellow"/>
                <w:lang w:val="sr-Latn-BA" w:eastAsia="sr-Latn-BA"/>
              </w:rPr>
              <w:t xml:space="preserve">                  </w:t>
            </w:r>
            <w:r w:rsidR="004D4EEB">
              <w:rPr>
                <w:rFonts w:ascii="Calibri" w:hAnsi="Calibri"/>
                <w:color w:val="000000"/>
                <w:lang w:val="sr-Latn-BA" w:eastAsia="sr-Latn-BA"/>
              </w:rPr>
              <w:t>2.4</w:t>
            </w:r>
            <w:r w:rsidR="0061007F" w:rsidRPr="0061007F">
              <w:rPr>
                <w:rFonts w:ascii="Calibri" w:hAnsi="Calibri"/>
                <w:color w:val="000000"/>
                <w:lang w:val="sr-Latn-BA" w:eastAsia="sr-Latn-BA"/>
              </w:rPr>
              <w:t>00</w:t>
            </w:r>
            <w:r w:rsidR="005C62C3" w:rsidRPr="0061007F">
              <w:rPr>
                <w:rFonts w:ascii="Calibri" w:hAnsi="Calibri"/>
                <w:color w:val="000000"/>
                <w:lang w:val="sr-Latn-BA" w:eastAsia="sr-Latn-BA"/>
              </w:rPr>
              <w:t xml:space="preserve">      </w:t>
            </w:r>
            <w:r w:rsidRPr="0061007F">
              <w:rPr>
                <w:rFonts w:ascii="Calibri" w:hAnsi="Calibri"/>
                <w:color w:val="000000"/>
                <w:lang w:val="sr-Latn-BA" w:eastAsia="sr-Latn-BA"/>
              </w:rPr>
              <w:t xml:space="preserve">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42069D" w:rsidRPr="0042069D" w:rsidRDefault="00443D60" w:rsidP="009112EB">
            <w:pPr>
              <w:jc w:val="right"/>
              <w:rPr>
                <w:rFonts w:ascii="Calibri" w:hAnsi="Calibri"/>
                <w:color w:val="000000"/>
                <w:lang w:val="sr-Latn-BA" w:eastAsia="sr-Latn-BA"/>
              </w:rPr>
            </w:pPr>
            <w:r>
              <w:rPr>
                <w:rFonts w:ascii="Calibri" w:hAnsi="Calibri"/>
                <w:color w:val="000000"/>
                <w:lang w:val="sr-Latn-BA" w:eastAsia="sr-Latn-BA"/>
              </w:rPr>
              <w:t xml:space="preserve">    </w:t>
            </w:r>
            <w:r w:rsidR="00493360">
              <w:rPr>
                <w:rFonts w:ascii="Calibri" w:hAnsi="Calibri"/>
                <w:color w:val="000000"/>
                <w:lang w:val="sr-Latn-BA" w:eastAsia="sr-Latn-BA"/>
              </w:rPr>
              <w:t xml:space="preserve">                          132</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61007F" w:rsidRDefault="0042069D" w:rsidP="0061007F">
            <w:pPr>
              <w:jc w:val="right"/>
              <w:rPr>
                <w:rFonts w:ascii="Calibri" w:hAnsi="Calibri"/>
                <w:color w:val="000000"/>
                <w:lang w:val="sr-Latn-BA" w:eastAsia="sr-Latn-BA"/>
              </w:rPr>
            </w:pPr>
            <w:r w:rsidRPr="0061007F">
              <w:rPr>
                <w:rFonts w:ascii="Calibri" w:hAnsi="Calibri"/>
                <w:color w:val="000000"/>
                <w:lang w:val="sr-Latn-BA" w:eastAsia="sr-Latn-BA"/>
              </w:rPr>
              <w:t xml:space="preserve">                  </w:t>
            </w:r>
            <w:r w:rsidR="004D4EEB">
              <w:rPr>
                <w:rFonts w:ascii="Calibri" w:hAnsi="Calibri"/>
                <w:color w:val="000000"/>
                <w:lang w:val="sr-Latn-BA" w:eastAsia="sr-Latn-BA"/>
              </w:rPr>
              <w:t>122</w:t>
            </w:r>
            <w:r w:rsidRPr="0061007F">
              <w:rPr>
                <w:rFonts w:ascii="Calibri" w:hAnsi="Calibri"/>
                <w:color w:val="000000"/>
                <w:lang w:val="sr-Latn-BA" w:eastAsia="sr-Latn-BA"/>
              </w:rPr>
              <w:t xml:space="preserve">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42069D" w:rsidRPr="0042069D" w:rsidRDefault="009659CB" w:rsidP="004A4C21">
            <w:pPr>
              <w:jc w:val="right"/>
              <w:rPr>
                <w:rFonts w:ascii="Calibri" w:hAnsi="Calibri"/>
                <w:color w:val="000000"/>
                <w:lang w:val="sr-Latn-BA" w:eastAsia="sr-Latn-BA"/>
              </w:rPr>
            </w:pPr>
            <w:r>
              <w:rPr>
                <w:rFonts w:ascii="Calibri" w:hAnsi="Calibri"/>
                <w:color w:val="000000"/>
                <w:lang w:val="sr-Latn-BA" w:eastAsia="sr-Latn-BA"/>
              </w:rPr>
              <w:t xml:space="preserve">    </w:t>
            </w:r>
            <w:r w:rsidR="005C62C3">
              <w:rPr>
                <w:rFonts w:ascii="Calibri" w:hAnsi="Calibri"/>
                <w:color w:val="000000"/>
                <w:lang w:val="sr-Latn-BA" w:eastAsia="sr-Latn-BA"/>
              </w:rPr>
              <w:t xml:space="preserve">                           1.755</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61007F" w:rsidRDefault="0042069D" w:rsidP="0061007F">
            <w:pPr>
              <w:jc w:val="right"/>
              <w:rPr>
                <w:rFonts w:ascii="Calibri" w:hAnsi="Calibri"/>
                <w:color w:val="000000"/>
                <w:lang w:val="sr-Latn-BA" w:eastAsia="sr-Latn-BA"/>
              </w:rPr>
            </w:pPr>
            <w:r w:rsidRPr="0061007F">
              <w:rPr>
                <w:rFonts w:ascii="Calibri" w:hAnsi="Calibri"/>
                <w:color w:val="000000"/>
                <w:lang w:val="sr-Latn-BA" w:eastAsia="sr-Latn-BA"/>
              </w:rPr>
              <w:t xml:space="preserve">                  </w:t>
            </w:r>
            <w:r w:rsidR="004D4EEB">
              <w:rPr>
                <w:rFonts w:ascii="Calibri" w:hAnsi="Calibri"/>
                <w:color w:val="000000"/>
                <w:lang w:val="sr-Latn-BA" w:eastAsia="sr-Latn-BA"/>
              </w:rPr>
              <w:t>1.755</w:t>
            </w:r>
            <w:r w:rsidR="005C62C3" w:rsidRPr="0061007F">
              <w:rPr>
                <w:rFonts w:ascii="Calibri" w:hAnsi="Calibri"/>
                <w:color w:val="000000"/>
                <w:lang w:val="sr-Latn-BA" w:eastAsia="sr-Latn-BA"/>
              </w:rPr>
              <w:t xml:space="preserve">      </w:t>
            </w:r>
            <w:r w:rsidRPr="0061007F">
              <w:rPr>
                <w:rFonts w:ascii="Calibri" w:hAnsi="Calibri"/>
                <w:color w:val="000000"/>
                <w:lang w:val="sr-Latn-BA" w:eastAsia="sr-Latn-BA"/>
              </w:rPr>
              <w:t xml:space="preserve">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43D60">
            <w:pPr>
              <w:rPr>
                <w:rFonts w:ascii="Calibri" w:hAnsi="Calibri"/>
                <w:color w:val="000000"/>
                <w:lang w:val="sr-Latn-BA" w:eastAsia="sr-Latn-BA"/>
              </w:rPr>
            </w:pPr>
            <w:r w:rsidRPr="0042069D">
              <w:rPr>
                <w:rFonts w:ascii="Calibri" w:hAnsi="Calibri"/>
                <w:color w:val="000000"/>
                <w:lang w:val="sr-Latn-BA" w:eastAsia="sr-Latn-BA"/>
              </w:rPr>
              <w:t xml:space="preserve">Troškovi </w:t>
            </w:r>
            <w:r w:rsidR="00443D60">
              <w:rPr>
                <w:rFonts w:ascii="Calibri" w:hAnsi="Calibri"/>
                <w:color w:val="000000"/>
                <w:lang w:val="sr-Latn-BA" w:eastAsia="sr-Latn-BA"/>
              </w:rPr>
              <w:t xml:space="preserve">platnog prometa </w:t>
            </w:r>
          </w:p>
        </w:tc>
        <w:tc>
          <w:tcPr>
            <w:tcW w:w="1896" w:type="dxa"/>
            <w:tcBorders>
              <w:top w:val="nil"/>
              <w:left w:val="nil"/>
              <w:bottom w:val="nil"/>
              <w:right w:val="nil"/>
            </w:tcBorders>
            <w:shd w:val="clear" w:color="000000" w:fill="FFFFFF"/>
            <w:noWrap/>
            <w:vAlign w:val="bottom"/>
            <w:hideMark/>
          </w:tcPr>
          <w:p w:rsidR="0042069D" w:rsidRPr="0042069D" w:rsidRDefault="00493360" w:rsidP="009112EB">
            <w:pPr>
              <w:jc w:val="right"/>
              <w:rPr>
                <w:rFonts w:ascii="Calibri" w:hAnsi="Calibri"/>
                <w:color w:val="000000"/>
                <w:lang w:val="sr-Latn-BA" w:eastAsia="sr-Latn-BA"/>
              </w:rPr>
            </w:pPr>
            <w:r>
              <w:rPr>
                <w:rFonts w:ascii="Calibri" w:hAnsi="Calibri"/>
                <w:color w:val="000000"/>
                <w:lang w:val="sr-Latn-BA" w:eastAsia="sr-Latn-BA"/>
              </w:rPr>
              <w:t>200</w:t>
            </w:r>
            <w:r w:rsidR="00443D60">
              <w:rPr>
                <w:rFonts w:ascii="Calibri" w:hAnsi="Calibri"/>
                <w:color w:val="000000"/>
                <w:lang w:val="sr-Latn-BA" w:eastAsia="sr-Latn-BA"/>
              </w:rPr>
              <w:t xml:space="preserve">    </w:t>
            </w:r>
            <w:r w:rsidR="004D4EEB">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61007F" w:rsidRDefault="0042069D" w:rsidP="0061007F">
            <w:pPr>
              <w:jc w:val="right"/>
              <w:rPr>
                <w:rFonts w:ascii="Calibri" w:hAnsi="Calibri"/>
                <w:color w:val="000000"/>
                <w:lang w:val="sr-Latn-BA" w:eastAsia="sr-Latn-BA"/>
              </w:rPr>
            </w:pPr>
            <w:r w:rsidRPr="0061007F">
              <w:rPr>
                <w:rFonts w:ascii="Calibri" w:hAnsi="Calibri"/>
                <w:color w:val="000000"/>
                <w:lang w:val="sr-Latn-BA" w:eastAsia="sr-Latn-BA"/>
              </w:rPr>
              <w:t xml:space="preserve">                  </w:t>
            </w:r>
            <w:r w:rsidR="004D4EEB">
              <w:rPr>
                <w:rFonts w:ascii="Calibri" w:hAnsi="Calibri"/>
                <w:color w:val="000000"/>
                <w:lang w:val="sr-Latn-BA" w:eastAsia="sr-Latn-BA"/>
              </w:rPr>
              <w:t>133</w:t>
            </w:r>
            <w:r w:rsidRPr="0061007F">
              <w:rPr>
                <w:rFonts w:ascii="Calibri" w:hAnsi="Calibri"/>
                <w:color w:val="000000"/>
                <w:lang w:val="sr-Latn-BA" w:eastAsia="sr-Latn-BA"/>
              </w:rPr>
              <w:t xml:space="preserve">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906B83" w:rsidRDefault="0042069D" w:rsidP="0042069D">
            <w:pPr>
              <w:rPr>
                <w:rFonts w:ascii="Calibri" w:hAnsi="Calibri"/>
                <w:color w:val="000000"/>
                <w:lang w:val="sr-Latn-BA" w:eastAsia="sr-Latn-BA"/>
              </w:rPr>
            </w:pPr>
            <w:r w:rsidRPr="00906B83">
              <w:rPr>
                <w:rFonts w:ascii="Calibri" w:hAnsi="Calibri"/>
                <w:color w:val="000000"/>
                <w:lang w:val="sr-Latn-BA" w:eastAsia="sr-Latn-BA"/>
              </w:rPr>
              <w:lastRenderedPageBreak/>
              <w:t xml:space="preserve">Ostali </w:t>
            </w:r>
          </w:p>
        </w:tc>
        <w:tc>
          <w:tcPr>
            <w:tcW w:w="1896" w:type="dxa"/>
            <w:tcBorders>
              <w:top w:val="nil"/>
              <w:left w:val="nil"/>
              <w:bottom w:val="nil"/>
              <w:right w:val="nil"/>
            </w:tcBorders>
            <w:shd w:val="clear" w:color="000000" w:fill="FFFFFF"/>
            <w:noWrap/>
            <w:vAlign w:val="bottom"/>
            <w:hideMark/>
          </w:tcPr>
          <w:p w:rsidR="0042069D" w:rsidRPr="00906B83" w:rsidRDefault="00906B83" w:rsidP="00443D60">
            <w:pPr>
              <w:jc w:val="right"/>
              <w:rPr>
                <w:rFonts w:ascii="Calibri" w:hAnsi="Calibri"/>
                <w:color w:val="000000"/>
                <w:lang w:val="sr-Latn-BA" w:eastAsia="sr-Latn-BA"/>
              </w:rPr>
            </w:pPr>
            <w:r>
              <w:rPr>
                <w:rFonts w:ascii="Calibri" w:hAnsi="Calibri"/>
                <w:color w:val="000000"/>
                <w:lang w:val="sr-Latn-BA" w:eastAsia="sr-Latn-BA"/>
              </w:rPr>
              <w:t xml:space="preserve">       </w:t>
            </w:r>
            <w:r w:rsidR="004D4EEB">
              <w:rPr>
                <w:rFonts w:ascii="Calibri" w:hAnsi="Calibri"/>
                <w:color w:val="000000"/>
                <w:lang w:val="sr-Latn-BA" w:eastAsia="sr-Latn-BA"/>
              </w:rPr>
              <w:t>590</w:t>
            </w:r>
            <w:r w:rsidR="0042069D" w:rsidRPr="00906B83">
              <w:rPr>
                <w:rFonts w:ascii="Calibri" w:hAnsi="Calibri"/>
                <w:color w:val="000000"/>
                <w:lang w:val="sr-Latn-BA" w:eastAsia="sr-Latn-BA"/>
              </w:rPr>
              <w:t xml:space="preserve">                               </w:t>
            </w:r>
            <w:r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r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61007F" w:rsidRDefault="004D4EEB" w:rsidP="00443D60">
            <w:pPr>
              <w:jc w:val="right"/>
              <w:rPr>
                <w:rFonts w:ascii="Calibri" w:hAnsi="Calibri"/>
                <w:color w:val="000000"/>
                <w:lang w:val="sr-Latn-BA" w:eastAsia="sr-Latn-BA"/>
              </w:rPr>
            </w:pPr>
            <w:r>
              <w:rPr>
                <w:rFonts w:ascii="Calibri" w:hAnsi="Calibri"/>
                <w:color w:val="000000"/>
                <w:lang w:val="sr-Latn-BA" w:eastAsia="sr-Latn-BA"/>
              </w:rPr>
              <w:t>0</w:t>
            </w:r>
            <w:r w:rsidR="0042069D" w:rsidRPr="0061007F">
              <w:rPr>
                <w:rFonts w:ascii="Calibri" w:hAnsi="Calibri"/>
                <w:color w:val="000000"/>
                <w:lang w:val="sr-Latn-BA" w:eastAsia="sr-Latn-BA"/>
              </w:rPr>
              <w:t xml:space="preserve">          </w:t>
            </w:r>
            <w:r w:rsidR="00906B83" w:rsidRPr="0061007F">
              <w:rPr>
                <w:rFonts w:ascii="Calibri" w:hAnsi="Calibri"/>
                <w:color w:val="000000"/>
                <w:lang w:val="sr-Latn-BA" w:eastAsia="sr-Latn-BA"/>
              </w:rPr>
              <w:t xml:space="preserve">  </w:t>
            </w:r>
            <w:r w:rsidR="0042069D" w:rsidRPr="0061007F">
              <w:rPr>
                <w:rFonts w:ascii="Calibri" w:hAnsi="Calibri"/>
                <w:color w:val="000000"/>
                <w:lang w:val="sr-Latn-BA" w:eastAsia="sr-Latn-BA"/>
              </w:rPr>
              <w:t xml:space="preserve">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896" w:type="dxa"/>
            <w:tcBorders>
              <w:top w:val="nil"/>
              <w:left w:val="nil"/>
              <w:bottom w:val="nil"/>
              <w:right w:val="nil"/>
            </w:tcBorders>
            <w:shd w:val="clear" w:color="000000" w:fill="FFFFFF"/>
            <w:noWrap/>
            <w:vAlign w:val="bottom"/>
            <w:hideMark/>
          </w:tcPr>
          <w:p w:rsidR="0042069D" w:rsidRPr="0042069D" w:rsidRDefault="00906B83" w:rsidP="00493360">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493360">
              <w:rPr>
                <w:rFonts w:ascii="Calibri" w:hAnsi="Calibri"/>
                <w:b/>
                <w:bCs/>
                <w:color w:val="000000"/>
                <w:u w:val="single"/>
                <w:lang w:val="sr-Latn-BA" w:eastAsia="sr-Latn-BA"/>
              </w:rPr>
              <w:t>32.615</w:t>
            </w:r>
            <w:r w:rsidR="0042069D"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61007F" w:rsidRDefault="0042069D" w:rsidP="004D4EEB">
            <w:pPr>
              <w:jc w:val="right"/>
              <w:rPr>
                <w:rFonts w:ascii="Calibri" w:hAnsi="Calibri"/>
                <w:b/>
                <w:bCs/>
                <w:color w:val="000000"/>
                <w:u w:val="single"/>
                <w:lang w:val="sr-Latn-BA" w:eastAsia="sr-Latn-BA"/>
              </w:rPr>
            </w:pPr>
            <w:r w:rsidRPr="0061007F">
              <w:rPr>
                <w:rFonts w:ascii="Calibri" w:hAnsi="Calibri"/>
                <w:b/>
                <w:bCs/>
                <w:color w:val="000000"/>
                <w:u w:val="single"/>
                <w:lang w:val="sr-Latn-BA" w:eastAsia="sr-Latn-BA"/>
              </w:rPr>
              <w:t xml:space="preserve">                  </w:t>
            </w:r>
            <w:r w:rsidR="004D4EEB">
              <w:rPr>
                <w:rFonts w:ascii="Calibri" w:hAnsi="Calibri"/>
                <w:b/>
                <w:bCs/>
                <w:color w:val="000000"/>
                <w:u w:val="single"/>
                <w:lang w:val="sr-Latn-BA" w:eastAsia="sr-Latn-BA"/>
              </w:rPr>
              <w:t>59.003</w:t>
            </w:r>
            <w:r w:rsidR="005C62C3" w:rsidRPr="0061007F">
              <w:rPr>
                <w:rFonts w:ascii="Calibri" w:hAnsi="Calibri"/>
                <w:b/>
                <w:bCs/>
                <w:color w:val="000000"/>
                <w:u w:val="single"/>
                <w:lang w:val="sr-Latn-BA" w:eastAsia="sr-Latn-BA"/>
              </w:rPr>
              <w:t xml:space="preserve">    </w:t>
            </w:r>
            <w:r w:rsidRPr="0061007F">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C4309C">
              <w:rPr>
                <w:rFonts w:ascii="Calibri" w:hAnsi="Calibri"/>
                <w:b/>
                <w:bCs/>
                <w:color w:val="000000"/>
                <w:lang w:val="sr-Latn-BA" w:eastAsia="sr-Latn-BA"/>
              </w:rPr>
              <w:t>2</w:t>
            </w:r>
            <w:r w:rsidR="009112EB">
              <w:rPr>
                <w:rFonts w:ascii="Calibri" w:hAnsi="Calibri"/>
                <w:b/>
                <w:bCs/>
                <w:color w:val="000000"/>
                <w:lang w:val="sr-Latn-BA" w:eastAsia="sr-Latn-BA"/>
              </w:rPr>
              <w:t>1</w:t>
            </w:r>
          </w:p>
        </w:tc>
        <w:tc>
          <w:tcPr>
            <w:tcW w:w="1264" w:type="dxa"/>
            <w:tcBorders>
              <w:top w:val="nil"/>
              <w:left w:val="nil"/>
              <w:bottom w:val="nil"/>
              <w:right w:val="nil"/>
            </w:tcBorders>
            <w:shd w:val="clear" w:color="000000" w:fill="FFFFFF"/>
            <w:noWrap/>
            <w:vAlign w:val="bottom"/>
            <w:hideMark/>
          </w:tcPr>
          <w:p w:rsidR="00130798" w:rsidRPr="0042069D" w:rsidRDefault="0042069D" w:rsidP="00130798">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C4309C">
              <w:rPr>
                <w:rFonts w:ascii="Calibri" w:hAnsi="Calibri"/>
                <w:b/>
                <w:bCs/>
                <w:color w:val="000000"/>
                <w:lang w:val="sr-Latn-BA" w:eastAsia="sr-Latn-BA"/>
              </w:rPr>
              <w:t>9</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42069D" w:rsidRPr="0042069D" w:rsidRDefault="0042069D" w:rsidP="00493360">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906B83">
              <w:rPr>
                <w:rFonts w:ascii="Calibri" w:hAnsi="Calibri"/>
                <w:color w:val="000000"/>
                <w:lang w:val="sr-Latn-BA" w:eastAsia="sr-Latn-BA"/>
              </w:rPr>
              <w:t xml:space="preserve">            </w:t>
            </w:r>
            <w:r w:rsidR="00493360">
              <w:rPr>
                <w:rFonts w:ascii="Calibri" w:hAnsi="Calibri"/>
                <w:color w:val="000000"/>
                <w:lang w:val="sr-Latn-BA" w:eastAsia="sr-Latn-BA"/>
              </w:rPr>
              <w:t>4.379</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9112EB" w:rsidRDefault="0042069D" w:rsidP="004D4EEB">
            <w:pPr>
              <w:jc w:val="right"/>
              <w:rPr>
                <w:rFonts w:ascii="Calibri" w:hAnsi="Calibri"/>
                <w:color w:val="000000"/>
                <w:highlight w:val="yellow"/>
                <w:lang w:val="sr-Latn-BA" w:eastAsia="sr-Latn-BA"/>
              </w:rPr>
            </w:pPr>
            <w:r w:rsidRPr="009112EB">
              <w:rPr>
                <w:rFonts w:ascii="Calibri" w:hAnsi="Calibri"/>
                <w:color w:val="000000"/>
                <w:highlight w:val="yellow"/>
                <w:lang w:val="sr-Latn-BA" w:eastAsia="sr-Latn-BA"/>
              </w:rPr>
              <w:t xml:space="preserve">                  </w:t>
            </w:r>
            <w:r w:rsidR="00C4309C" w:rsidRPr="009112EB">
              <w:rPr>
                <w:rFonts w:ascii="Calibri" w:hAnsi="Calibri"/>
                <w:color w:val="000000"/>
                <w:highlight w:val="yellow"/>
                <w:lang w:val="sr-Latn-BA" w:eastAsia="sr-Latn-BA"/>
              </w:rPr>
              <w:t xml:space="preserve">                </w:t>
            </w:r>
            <w:r w:rsidR="004D4EEB">
              <w:rPr>
                <w:rFonts w:ascii="Calibri" w:hAnsi="Calibri"/>
                <w:color w:val="000000"/>
                <w:lang w:val="sr-Latn-BA" w:eastAsia="sr-Latn-BA"/>
              </w:rPr>
              <w:t>54.593</w:t>
            </w:r>
            <w:r w:rsidR="00C4309C" w:rsidRPr="00FA640F">
              <w:rPr>
                <w:rFonts w:ascii="Calibri" w:hAnsi="Calibri"/>
                <w:color w:val="000000"/>
                <w:lang w:val="sr-Latn-BA" w:eastAsia="sr-Latn-BA"/>
              </w:rPr>
              <w:t xml:space="preserve">    </w:t>
            </w:r>
            <w:r w:rsidRPr="00FA640F">
              <w:rPr>
                <w:rFonts w:ascii="Calibri" w:hAnsi="Calibri"/>
                <w:color w:val="000000"/>
                <w:lang w:val="sr-Latn-BA" w:eastAsia="sr-Latn-BA"/>
              </w:rPr>
              <w:t xml:space="preserve">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42069D" w:rsidRPr="0042069D" w:rsidRDefault="0042069D" w:rsidP="009659CB">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FA640F" w:rsidRDefault="0042069D" w:rsidP="009659CB">
            <w:pPr>
              <w:jc w:val="right"/>
              <w:rPr>
                <w:rFonts w:ascii="Calibri" w:hAnsi="Calibri"/>
                <w:color w:val="000000"/>
                <w:lang w:val="sr-Latn-BA" w:eastAsia="sr-Latn-BA"/>
              </w:rPr>
            </w:pPr>
            <w:r w:rsidRPr="00FA640F">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896" w:type="dxa"/>
            <w:tcBorders>
              <w:top w:val="nil"/>
              <w:left w:val="nil"/>
              <w:bottom w:val="nil"/>
              <w:right w:val="nil"/>
            </w:tcBorders>
            <w:shd w:val="clear" w:color="000000" w:fill="FFFFFF"/>
            <w:noWrap/>
            <w:vAlign w:val="bottom"/>
            <w:hideMark/>
          </w:tcPr>
          <w:p w:rsidR="0042069D" w:rsidRPr="0042069D" w:rsidRDefault="00493360" w:rsidP="009659CB">
            <w:pPr>
              <w:jc w:val="right"/>
              <w:rPr>
                <w:rFonts w:ascii="Calibri" w:hAnsi="Calibri"/>
                <w:color w:val="000000"/>
                <w:lang w:val="sr-Latn-BA" w:eastAsia="sr-Latn-BA"/>
              </w:rPr>
            </w:pPr>
            <w:r>
              <w:rPr>
                <w:rFonts w:ascii="Calibri" w:hAnsi="Calibri"/>
                <w:color w:val="000000"/>
                <w:lang w:val="sr-Latn-BA" w:eastAsia="sr-Latn-BA"/>
              </w:rPr>
              <w:t xml:space="preserve">                               3</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FA640F" w:rsidRDefault="0042069D" w:rsidP="009659CB">
            <w:pPr>
              <w:jc w:val="right"/>
              <w:rPr>
                <w:rFonts w:ascii="Calibri" w:hAnsi="Calibri"/>
                <w:color w:val="000000"/>
                <w:lang w:val="sr-Latn-BA" w:eastAsia="sr-Latn-BA"/>
              </w:rPr>
            </w:pPr>
            <w:r w:rsidRPr="00FA640F">
              <w:rPr>
                <w:rFonts w:ascii="Calibri" w:hAnsi="Calibri"/>
                <w:color w:val="000000"/>
                <w:lang w:val="sr-Latn-BA" w:eastAsia="sr-Latn-BA"/>
              </w:rPr>
              <w:t xml:space="preserve">                  -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493360">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493360">
              <w:rPr>
                <w:rFonts w:ascii="Calibri" w:hAnsi="Calibri"/>
                <w:b/>
                <w:bCs/>
                <w:color w:val="000000"/>
                <w:u w:val="single"/>
                <w:lang w:val="sr-Latn-BA" w:eastAsia="sr-Latn-BA"/>
              </w:rPr>
              <w:t>4.382</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FA640F" w:rsidRDefault="009659CB" w:rsidP="004D4EEB">
            <w:pPr>
              <w:jc w:val="right"/>
              <w:rPr>
                <w:rFonts w:ascii="Calibri" w:hAnsi="Calibri"/>
                <w:b/>
                <w:bCs/>
                <w:color w:val="000000"/>
                <w:u w:val="single"/>
                <w:lang w:val="sr-Latn-BA" w:eastAsia="sr-Latn-BA"/>
              </w:rPr>
            </w:pPr>
            <w:r w:rsidRPr="00FA640F">
              <w:rPr>
                <w:rFonts w:ascii="Calibri" w:hAnsi="Calibri"/>
                <w:b/>
                <w:bCs/>
                <w:color w:val="000000"/>
                <w:u w:val="single"/>
                <w:lang w:val="sr-Latn-BA" w:eastAsia="sr-Latn-BA"/>
              </w:rPr>
              <w:t xml:space="preserve">                  </w:t>
            </w:r>
            <w:r w:rsidR="004D4EEB">
              <w:rPr>
                <w:rFonts w:ascii="Calibri" w:hAnsi="Calibri"/>
                <w:b/>
                <w:bCs/>
                <w:color w:val="000000"/>
                <w:u w:val="single"/>
                <w:lang w:val="sr-Latn-BA" w:eastAsia="sr-Latn-BA"/>
              </w:rPr>
              <w:t>54.593</w:t>
            </w:r>
            <w:r w:rsidR="00C4309C" w:rsidRPr="00FA640F">
              <w:rPr>
                <w:rFonts w:ascii="Calibri" w:hAnsi="Calibri"/>
                <w:b/>
                <w:bCs/>
                <w:color w:val="000000"/>
                <w:u w:val="single"/>
                <w:lang w:val="sr-Latn-BA" w:eastAsia="sr-Latn-BA"/>
              </w:rPr>
              <w:t xml:space="preserve">    </w:t>
            </w:r>
            <w:r w:rsidR="0042069D" w:rsidRPr="00FA640F">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5" w:name="_Toc506645336"/>
      <w:bookmarkStart w:id="36" w:name="_Toc64534462"/>
      <w:r w:rsidRPr="00A47E7E">
        <w:rPr>
          <w:rFonts w:ascii="Calibri" w:hAnsi="Calibri" w:cs="Calibri"/>
          <w:noProof/>
          <w:sz w:val="24"/>
          <w:szCs w:val="24"/>
        </w:rPr>
        <w:t>SUDSKI SPOROVI</w:t>
      </w:r>
      <w:bookmarkEnd w:id="35"/>
      <w:bookmarkEnd w:id="36"/>
    </w:p>
    <w:p w:rsidR="000C483E" w:rsidRPr="00A47E7E" w:rsidRDefault="00493360" w:rsidP="000C483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rPr>
      </w:pPr>
      <w:r>
        <w:rPr>
          <w:rFonts w:ascii="Calibri" w:hAnsi="Calibri" w:cs="Calibri"/>
          <w:noProof/>
        </w:rPr>
        <w:t>Na dan 30</w:t>
      </w:r>
      <w:r w:rsidR="000C483E" w:rsidRPr="00A47E7E">
        <w:rPr>
          <w:rFonts w:ascii="Calibri" w:hAnsi="Calibri" w:cs="Calibri"/>
          <w:noProof/>
        </w:rPr>
        <w:t xml:space="preserve">. </w:t>
      </w:r>
      <w:r>
        <w:rPr>
          <w:rFonts w:ascii="Calibri" w:hAnsi="Calibri" w:cs="Calibri"/>
          <w:noProof/>
        </w:rPr>
        <w:t>jun</w:t>
      </w:r>
      <w:r w:rsidR="009112EB">
        <w:rPr>
          <w:rFonts w:ascii="Calibri" w:hAnsi="Calibri" w:cs="Calibri"/>
          <w:noProof/>
        </w:rPr>
        <w:t xml:space="preserve"> 2021</w:t>
      </w:r>
      <w:r w:rsidR="000C483E" w:rsidRPr="00A47E7E">
        <w:rPr>
          <w:rFonts w:ascii="Calibri" w:hAnsi="Calibri" w:cs="Calibri"/>
          <w:noProof/>
        </w:rPr>
        <w:t xml:space="preserve">. godine Fond nije imao sudskih sporova u kojima je tužena strana, niti je vodilo sudske sporove protiv svojih dužnika. </w:t>
      </w:r>
    </w:p>
    <w:p w:rsidR="000C483E" w:rsidRDefault="000C483E" w:rsidP="000C483E">
      <w:pPr>
        <w:pStyle w:val="ListParagraph"/>
        <w:rPr>
          <w:rFonts w:ascii="Calibri" w:hAnsi="Calibri" w:cs="Calibri"/>
          <w:b/>
          <w:noProof/>
        </w:rPr>
      </w:pPr>
    </w:p>
    <w:p w:rsidR="0010199A" w:rsidRPr="00A47E7E" w:rsidRDefault="0010199A" w:rsidP="000C483E">
      <w:pPr>
        <w:pStyle w:val="ListParagraph"/>
        <w:rPr>
          <w:rFonts w:ascii="Calibri" w:hAnsi="Calibri" w:cs="Calibri"/>
          <w:b/>
          <w:noProof/>
        </w:rPr>
      </w:pPr>
    </w:p>
    <w:p w:rsidR="007C5F3F" w:rsidRPr="0010199A" w:rsidRDefault="000C483E" w:rsidP="00273248">
      <w:pPr>
        <w:pStyle w:val="Heading1"/>
        <w:rPr>
          <w:rFonts w:ascii="Calibri" w:hAnsi="Calibri" w:cs="Calibri"/>
          <w:noProof/>
          <w:sz w:val="24"/>
          <w:szCs w:val="24"/>
        </w:rPr>
      </w:pPr>
      <w:bookmarkStart w:id="37" w:name="_Toc506645337"/>
      <w:bookmarkStart w:id="38" w:name="_Toc64534463"/>
      <w:r w:rsidRPr="006D0F71">
        <w:rPr>
          <w:rFonts w:ascii="Calibri" w:hAnsi="Calibri" w:cs="Calibri"/>
          <w:noProof/>
          <w:sz w:val="24"/>
          <w:szCs w:val="24"/>
        </w:rPr>
        <w:t>TEKUĆA EKONOMSKA SITUACIJA I NJEN UTICAJ NA POSLOVANJE</w:t>
      </w:r>
      <w:bookmarkEnd w:id="37"/>
      <w:bookmarkEnd w:id="38"/>
    </w:p>
    <w:p w:rsidR="0010199A" w:rsidRPr="00194498" w:rsidRDefault="0010199A" w:rsidP="0010199A">
      <w:pPr>
        <w:jc w:val="both"/>
        <w:rPr>
          <w:rFonts w:ascii="Calibri" w:hAnsi="Calibri" w:cs="Calibri"/>
        </w:rPr>
      </w:pPr>
      <w:r w:rsidRPr="00194498">
        <w:rPr>
          <w:rFonts w:ascii="Calibri" w:hAnsi="Calibri" w:cs="Calibri"/>
        </w:rPr>
        <w:t xml:space="preserve">Fond je </w:t>
      </w:r>
      <w:proofErr w:type="spellStart"/>
      <w:r w:rsidRPr="00194498">
        <w:rPr>
          <w:rFonts w:ascii="Calibri" w:hAnsi="Calibri" w:cs="Calibri"/>
        </w:rPr>
        <w:t>osnovan</w:t>
      </w:r>
      <w:proofErr w:type="spellEnd"/>
      <w:r w:rsidRPr="00194498">
        <w:rPr>
          <w:rFonts w:ascii="Calibri" w:hAnsi="Calibri" w:cs="Calibri"/>
        </w:rPr>
        <w:t xml:space="preserve"> </w:t>
      </w:r>
      <w:proofErr w:type="spellStart"/>
      <w:r w:rsidRPr="00194498">
        <w:rPr>
          <w:rFonts w:ascii="Calibri" w:hAnsi="Calibri" w:cs="Calibri"/>
        </w:rPr>
        <w:t>kao</w:t>
      </w:r>
      <w:proofErr w:type="spellEnd"/>
      <w:r w:rsidRPr="00194498">
        <w:rPr>
          <w:rFonts w:ascii="Calibri" w:hAnsi="Calibri" w:cs="Calibri"/>
        </w:rPr>
        <w:t xml:space="preserve"> </w:t>
      </w:r>
      <w:proofErr w:type="spellStart"/>
      <w:r w:rsidRPr="00194498">
        <w:rPr>
          <w:rFonts w:ascii="Calibri" w:hAnsi="Calibri" w:cs="Calibri"/>
        </w:rPr>
        <w:t>otvoreni</w:t>
      </w:r>
      <w:proofErr w:type="spellEnd"/>
      <w:r w:rsidRPr="00194498">
        <w:rPr>
          <w:rFonts w:ascii="Calibri" w:hAnsi="Calibri" w:cs="Calibri"/>
        </w:rPr>
        <w:t xml:space="preserve"> </w:t>
      </w:r>
      <w:proofErr w:type="spellStart"/>
      <w:r w:rsidRPr="00194498">
        <w:rPr>
          <w:rFonts w:ascii="Calibri" w:hAnsi="Calibri" w:cs="Calibri"/>
        </w:rPr>
        <w:t>novčani</w:t>
      </w:r>
      <w:proofErr w:type="spellEnd"/>
      <w:r w:rsidRPr="00194498">
        <w:rPr>
          <w:rFonts w:ascii="Calibri" w:hAnsi="Calibri" w:cs="Calibri"/>
        </w:rPr>
        <w:t xml:space="preserve"> fond </w:t>
      </w:r>
      <w:proofErr w:type="spellStart"/>
      <w:r w:rsidRPr="00194498">
        <w:rPr>
          <w:rFonts w:ascii="Calibri" w:hAnsi="Calibri" w:cs="Calibri"/>
        </w:rPr>
        <w:t>sa</w:t>
      </w:r>
      <w:proofErr w:type="spellEnd"/>
      <w:r w:rsidRPr="00194498">
        <w:rPr>
          <w:rFonts w:ascii="Calibri" w:hAnsi="Calibri" w:cs="Calibri"/>
        </w:rPr>
        <w:t xml:space="preserve"> </w:t>
      </w:r>
      <w:proofErr w:type="spellStart"/>
      <w:r w:rsidRPr="00194498">
        <w:rPr>
          <w:rFonts w:ascii="Calibri" w:hAnsi="Calibri" w:cs="Calibri"/>
        </w:rPr>
        <w:t>ciljnom</w:t>
      </w:r>
      <w:proofErr w:type="spellEnd"/>
      <w:r w:rsidRPr="00194498">
        <w:rPr>
          <w:rFonts w:ascii="Calibri" w:hAnsi="Calibri" w:cs="Calibri"/>
        </w:rPr>
        <w:t xml:space="preserve"> </w:t>
      </w:r>
      <w:proofErr w:type="spellStart"/>
      <w:r w:rsidRPr="00194498">
        <w:rPr>
          <w:rFonts w:ascii="Calibri" w:hAnsi="Calibri" w:cs="Calibri"/>
        </w:rPr>
        <w:t>strukturom</w:t>
      </w:r>
      <w:proofErr w:type="spellEnd"/>
      <w:r w:rsidRPr="00194498">
        <w:rPr>
          <w:rFonts w:ascii="Calibri" w:hAnsi="Calibri" w:cs="Calibri"/>
        </w:rPr>
        <w:t xml:space="preserve"> </w:t>
      </w:r>
      <w:proofErr w:type="spellStart"/>
      <w:r w:rsidRPr="00194498">
        <w:rPr>
          <w:rFonts w:ascii="Calibri" w:hAnsi="Calibri" w:cs="Calibri"/>
        </w:rPr>
        <w:t>ulaganja</w:t>
      </w:r>
      <w:proofErr w:type="spellEnd"/>
      <w:r w:rsidRPr="00194498">
        <w:rPr>
          <w:rFonts w:ascii="Calibri" w:hAnsi="Calibri" w:cs="Calibri"/>
        </w:rPr>
        <w:t xml:space="preserve"> u </w:t>
      </w:r>
      <w:proofErr w:type="spellStart"/>
      <w:r w:rsidRPr="00194498">
        <w:rPr>
          <w:rFonts w:ascii="Calibri" w:hAnsi="Calibri" w:cs="Calibri"/>
        </w:rPr>
        <w:t>novčana</w:t>
      </w:r>
      <w:proofErr w:type="spellEnd"/>
      <w:r w:rsidRPr="00194498">
        <w:rPr>
          <w:rFonts w:ascii="Calibri" w:hAnsi="Calibri" w:cs="Calibri"/>
        </w:rPr>
        <w:t xml:space="preserve"> </w:t>
      </w:r>
      <w:proofErr w:type="spellStart"/>
      <w:r w:rsidRPr="00194498">
        <w:rPr>
          <w:rFonts w:ascii="Calibri" w:hAnsi="Calibri" w:cs="Calibri"/>
        </w:rPr>
        <w:t>sredstva</w:t>
      </w:r>
      <w:proofErr w:type="spellEnd"/>
      <w:r w:rsidRPr="00194498">
        <w:rPr>
          <w:rFonts w:ascii="Calibri" w:hAnsi="Calibri" w:cs="Calibri"/>
        </w:rPr>
        <w:t xml:space="preserve">, </w:t>
      </w:r>
      <w:proofErr w:type="spellStart"/>
      <w:r w:rsidRPr="00194498">
        <w:rPr>
          <w:rFonts w:ascii="Calibri" w:hAnsi="Calibri" w:cs="Calibri"/>
        </w:rPr>
        <w:t>instrumente</w:t>
      </w:r>
      <w:proofErr w:type="spellEnd"/>
      <w:r w:rsidRPr="00194498">
        <w:rPr>
          <w:rFonts w:ascii="Calibri" w:hAnsi="Calibri" w:cs="Calibri"/>
        </w:rPr>
        <w:t xml:space="preserve"> </w:t>
      </w:r>
      <w:proofErr w:type="spellStart"/>
      <w:r w:rsidRPr="00194498">
        <w:rPr>
          <w:rFonts w:ascii="Calibri" w:hAnsi="Calibri" w:cs="Calibri"/>
        </w:rPr>
        <w:t>tržišta</w:t>
      </w:r>
      <w:proofErr w:type="spellEnd"/>
      <w:r w:rsidRPr="00194498">
        <w:rPr>
          <w:rFonts w:ascii="Calibri" w:hAnsi="Calibri" w:cs="Calibri"/>
        </w:rPr>
        <w:t xml:space="preserve"> </w:t>
      </w:r>
      <w:proofErr w:type="spellStart"/>
      <w:r w:rsidRPr="00194498">
        <w:rPr>
          <w:rFonts w:ascii="Calibri" w:hAnsi="Calibri" w:cs="Calibri"/>
        </w:rPr>
        <w:t>novca</w:t>
      </w:r>
      <w:proofErr w:type="spellEnd"/>
      <w:r w:rsidRPr="00194498">
        <w:rPr>
          <w:rFonts w:ascii="Calibri" w:hAnsi="Calibri" w:cs="Calibri"/>
        </w:rPr>
        <w:t xml:space="preserve"> </w:t>
      </w:r>
      <w:proofErr w:type="spellStart"/>
      <w:r w:rsidRPr="00194498">
        <w:rPr>
          <w:rFonts w:ascii="Calibri" w:hAnsi="Calibri" w:cs="Calibri"/>
        </w:rPr>
        <w:t>i</w:t>
      </w:r>
      <w:proofErr w:type="spellEnd"/>
      <w:r w:rsidRPr="00194498">
        <w:rPr>
          <w:rFonts w:ascii="Calibri" w:hAnsi="Calibri" w:cs="Calibri"/>
        </w:rPr>
        <w:t xml:space="preserve"> </w:t>
      </w:r>
      <w:proofErr w:type="spellStart"/>
      <w:r w:rsidRPr="00194498">
        <w:rPr>
          <w:rFonts w:ascii="Calibri" w:hAnsi="Calibri" w:cs="Calibri"/>
        </w:rPr>
        <w:t>ekvivalente</w:t>
      </w:r>
      <w:proofErr w:type="spellEnd"/>
      <w:r w:rsidRPr="00194498">
        <w:rPr>
          <w:rFonts w:ascii="Calibri" w:hAnsi="Calibri" w:cs="Calibri"/>
        </w:rPr>
        <w:t xml:space="preserve"> </w:t>
      </w:r>
      <w:proofErr w:type="spellStart"/>
      <w:r w:rsidRPr="00194498">
        <w:rPr>
          <w:rFonts w:ascii="Calibri" w:hAnsi="Calibri" w:cs="Calibri"/>
        </w:rPr>
        <w:t>novca</w:t>
      </w:r>
      <w:proofErr w:type="spellEnd"/>
      <w:r w:rsidRPr="00194498">
        <w:rPr>
          <w:rFonts w:ascii="Calibri" w:hAnsi="Calibri" w:cs="Calibri"/>
        </w:rPr>
        <w:t xml:space="preserve"> u </w:t>
      </w:r>
      <w:proofErr w:type="spellStart"/>
      <w:r w:rsidRPr="00194498">
        <w:rPr>
          <w:rFonts w:ascii="Calibri" w:hAnsi="Calibri" w:cs="Calibri"/>
        </w:rPr>
        <w:t>intervalu</w:t>
      </w:r>
      <w:proofErr w:type="spellEnd"/>
      <w:r w:rsidRPr="00194498">
        <w:rPr>
          <w:rFonts w:ascii="Calibri" w:hAnsi="Calibri" w:cs="Calibri"/>
        </w:rPr>
        <w:t xml:space="preserve"> od 70% </w:t>
      </w:r>
      <w:proofErr w:type="spellStart"/>
      <w:r w:rsidRPr="00194498">
        <w:rPr>
          <w:rFonts w:ascii="Calibri" w:hAnsi="Calibri" w:cs="Calibri"/>
        </w:rPr>
        <w:t>do</w:t>
      </w:r>
      <w:proofErr w:type="spellEnd"/>
      <w:r w:rsidRPr="00194498">
        <w:rPr>
          <w:rFonts w:ascii="Calibri" w:hAnsi="Calibri" w:cs="Calibri"/>
        </w:rPr>
        <w:t xml:space="preserve"> 99</w:t>
      </w:r>
      <w:proofErr w:type="gramStart"/>
      <w:r w:rsidRPr="00194498">
        <w:rPr>
          <w:rFonts w:ascii="Calibri" w:hAnsi="Calibri" w:cs="Calibri"/>
        </w:rPr>
        <w:t>,99</w:t>
      </w:r>
      <w:proofErr w:type="gramEnd"/>
      <w:r w:rsidRPr="00194498">
        <w:rPr>
          <w:rFonts w:ascii="Calibri" w:hAnsi="Calibri" w:cs="Calibri"/>
        </w:rPr>
        <w:t xml:space="preserve">% </w:t>
      </w:r>
      <w:proofErr w:type="spellStart"/>
      <w:r w:rsidRPr="00194498">
        <w:rPr>
          <w:rFonts w:ascii="Calibri" w:hAnsi="Calibri" w:cs="Calibri"/>
        </w:rPr>
        <w:t>ukupnih</w:t>
      </w:r>
      <w:proofErr w:type="spellEnd"/>
      <w:r w:rsidRPr="00194498">
        <w:rPr>
          <w:rFonts w:ascii="Calibri" w:hAnsi="Calibri" w:cs="Calibri"/>
        </w:rPr>
        <w:t xml:space="preserve"> </w:t>
      </w:r>
      <w:proofErr w:type="spellStart"/>
      <w:r w:rsidRPr="00194498">
        <w:rPr>
          <w:rFonts w:ascii="Calibri" w:hAnsi="Calibri" w:cs="Calibri"/>
        </w:rPr>
        <w:t>ulaganja</w:t>
      </w:r>
      <w:proofErr w:type="spellEnd"/>
      <w:r w:rsidRPr="00194498">
        <w:rPr>
          <w:rFonts w:ascii="Calibri" w:hAnsi="Calibri" w:cs="Calibri"/>
        </w:rPr>
        <w:t xml:space="preserve">. </w:t>
      </w:r>
      <w:proofErr w:type="spellStart"/>
      <w:r w:rsidRPr="00194498">
        <w:rPr>
          <w:rFonts w:ascii="Calibri" w:hAnsi="Calibri" w:cs="Calibri"/>
        </w:rPr>
        <w:t>Ekonomska</w:t>
      </w:r>
      <w:proofErr w:type="spellEnd"/>
      <w:r w:rsidRPr="00194498">
        <w:rPr>
          <w:rFonts w:ascii="Calibri" w:hAnsi="Calibri" w:cs="Calibri"/>
        </w:rPr>
        <w:t xml:space="preserve"> </w:t>
      </w:r>
      <w:proofErr w:type="spellStart"/>
      <w:r w:rsidRPr="00194498">
        <w:rPr>
          <w:rFonts w:ascii="Calibri" w:hAnsi="Calibri" w:cs="Calibri"/>
        </w:rPr>
        <w:t>situacija</w:t>
      </w:r>
      <w:proofErr w:type="spellEnd"/>
      <w:r w:rsidRPr="00194498">
        <w:rPr>
          <w:rFonts w:ascii="Calibri" w:hAnsi="Calibri" w:cs="Calibri"/>
        </w:rPr>
        <w:t xml:space="preserve"> u </w:t>
      </w:r>
      <w:proofErr w:type="spellStart"/>
      <w:r w:rsidRPr="00194498">
        <w:rPr>
          <w:rFonts w:ascii="Calibri" w:hAnsi="Calibri" w:cs="Calibri"/>
        </w:rPr>
        <w:t>Republici</w:t>
      </w:r>
      <w:proofErr w:type="spellEnd"/>
      <w:r w:rsidRPr="00194498">
        <w:rPr>
          <w:rFonts w:ascii="Calibri" w:hAnsi="Calibri" w:cs="Calibri"/>
        </w:rPr>
        <w:t xml:space="preserve"> </w:t>
      </w:r>
      <w:proofErr w:type="spellStart"/>
      <w:r w:rsidRPr="00194498">
        <w:rPr>
          <w:rFonts w:ascii="Calibri" w:hAnsi="Calibri" w:cs="Calibri"/>
        </w:rPr>
        <w:t>Srpskoj</w:t>
      </w:r>
      <w:proofErr w:type="spellEnd"/>
      <w:r w:rsidRPr="00194498">
        <w:rPr>
          <w:rFonts w:ascii="Calibri" w:hAnsi="Calibri" w:cs="Calibri"/>
        </w:rPr>
        <w:t xml:space="preserve"> </w:t>
      </w:r>
      <w:proofErr w:type="spellStart"/>
      <w:r w:rsidRPr="00194498">
        <w:rPr>
          <w:rFonts w:ascii="Calibri" w:hAnsi="Calibri" w:cs="Calibri"/>
        </w:rPr>
        <w:t>može</w:t>
      </w:r>
      <w:proofErr w:type="spellEnd"/>
      <w:r w:rsidRPr="00194498">
        <w:rPr>
          <w:rFonts w:ascii="Calibri" w:hAnsi="Calibri" w:cs="Calibri"/>
        </w:rPr>
        <w:t xml:space="preserve"> </w:t>
      </w:r>
      <w:proofErr w:type="spellStart"/>
      <w:r w:rsidRPr="00194498">
        <w:rPr>
          <w:rFonts w:ascii="Calibri" w:hAnsi="Calibri" w:cs="Calibri"/>
        </w:rPr>
        <w:t>uticati</w:t>
      </w:r>
      <w:proofErr w:type="spellEnd"/>
      <w:r w:rsidRPr="00194498">
        <w:rPr>
          <w:rFonts w:ascii="Calibri" w:hAnsi="Calibri" w:cs="Calibri"/>
        </w:rPr>
        <w:t xml:space="preserve"> </w:t>
      </w:r>
      <w:proofErr w:type="spellStart"/>
      <w:proofErr w:type="gramStart"/>
      <w:r w:rsidRPr="00194498">
        <w:rPr>
          <w:rFonts w:ascii="Calibri" w:hAnsi="Calibri" w:cs="Calibri"/>
        </w:rPr>
        <w:t>na</w:t>
      </w:r>
      <w:proofErr w:type="spellEnd"/>
      <w:proofErr w:type="gramEnd"/>
      <w:r w:rsidRPr="00194498">
        <w:rPr>
          <w:rFonts w:ascii="Calibri" w:hAnsi="Calibri" w:cs="Calibri"/>
        </w:rPr>
        <w:t xml:space="preserve"> </w:t>
      </w:r>
      <w:proofErr w:type="spellStart"/>
      <w:r w:rsidRPr="00194498">
        <w:rPr>
          <w:rFonts w:ascii="Calibri" w:hAnsi="Calibri" w:cs="Calibri"/>
        </w:rPr>
        <w:t>zainteresovanost</w:t>
      </w:r>
      <w:proofErr w:type="spellEnd"/>
      <w:r w:rsidRPr="00194498">
        <w:rPr>
          <w:rFonts w:ascii="Calibri" w:hAnsi="Calibri" w:cs="Calibri"/>
        </w:rPr>
        <w:t xml:space="preserve"> </w:t>
      </w:r>
      <w:proofErr w:type="spellStart"/>
      <w:r w:rsidRPr="00194498">
        <w:rPr>
          <w:rFonts w:ascii="Calibri" w:hAnsi="Calibri" w:cs="Calibri"/>
        </w:rPr>
        <w:t>investitora</w:t>
      </w:r>
      <w:proofErr w:type="spellEnd"/>
      <w:r w:rsidRPr="00194498">
        <w:rPr>
          <w:rFonts w:ascii="Calibri" w:hAnsi="Calibri" w:cs="Calibri"/>
        </w:rPr>
        <w:t xml:space="preserve"> </w:t>
      </w:r>
      <w:proofErr w:type="spellStart"/>
      <w:r w:rsidRPr="00194498">
        <w:rPr>
          <w:rFonts w:ascii="Calibri" w:hAnsi="Calibri" w:cs="Calibri"/>
        </w:rPr>
        <w:t>i</w:t>
      </w:r>
      <w:proofErr w:type="spellEnd"/>
      <w:r w:rsidRPr="00194498">
        <w:rPr>
          <w:rFonts w:ascii="Calibri" w:hAnsi="Calibri" w:cs="Calibri"/>
        </w:rPr>
        <w:t xml:space="preserve"> </w:t>
      </w:r>
      <w:proofErr w:type="spellStart"/>
      <w:r w:rsidRPr="00194498">
        <w:rPr>
          <w:rFonts w:ascii="Calibri" w:hAnsi="Calibri" w:cs="Calibri"/>
        </w:rPr>
        <w:t>drugih</w:t>
      </w:r>
      <w:proofErr w:type="spellEnd"/>
      <w:r w:rsidRPr="00194498">
        <w:rPr>
          <w:rFonts w:ascii="Calibri" w:hAnsi="Calibri" w:cs="Calibri"/>
        </w:rPr>
        <w:t xml:space="preserve"> </w:t>
      </w:r>
      <w:proofErr w:type="spellStart"/>
      <w:r w:rsidRPr="00194498">
        <w:rPr>
          <w:rFonts w:ascii="Calibri" w:hAnsi="Calibri" w:cs="Calibri"/>
        </w:rPr>
        <w:t>učesnika</w:t>
      </w:r>
      <w:proofErr w:type="spellEnd"/>
      <w:r w:rsidRPr="00194498">
        <w:rPr>
          <w:rFonts w:ascii="Calibri" w:hAnsi="Calibri" w:cs="Calibri"/>
        </w:rPr>
        <w:t xml:space="preserve"> </w:t>
      </w:r>
      <w:proofErr w:type="spellStart"/>
      <w:r w:rsidRPr="00194498">
        <w:rPr>
          <w:rFonts w:ascii="Calibri" w:hAnsi="Calibri" w:cs="Calibri"/>
        </w:rPr>
        <w:t>tržišta</w:t>
      </w:r>
      <w:proofErr w:type="spellEnd"/>
      <w:r w:rsidRPr="00194498">
        <w:rPr>
          <w:rFonts w:ascii="Calibri" w:hAnsi="Calibri" w:cs="Calibri"/>
        </w:rPr>
        <w:t xml:space="preserve"> </w:t>
      </w:r>
      <w:proofErr w:type="spellStart"/>
      <w:r w:rsidRPr="00194498">
        <w:rPr>
          <w:rFonts w:ascii="Calibri" w:hAnsi="Calibri" w:cs="Calibri"/>
        </w:rPr>
        <w:t>kapitala</w:t>
      </w:r>
      <w:proofErr w:type="spellEnd"/>
      <w:r w:rsidRPr="00194498">
        <w:rPr>
          <w:rFonts w:ascii="Calibri" w:hAnsi="Calibri" w:cs="Calibri"/>
        </w:rPr>
        <w:t xml:space="preserve"> </w:t>
      </w:r>
      <w:proofErr w:type="spellStart"/>
      <w:r w:rsidRPr="00194498">
        <w:rPr>
          <w:rFonts w:ascii="Calibri" w:hAnsi="Calibri" w:cs="Calibri"/>
        </w:rPr>
        <w:t>i</w:t>
      </w:r>
      <w:proofErr w:type="spellEnd"/>
      <w:r w:rsidRPr="00194498">
        <w:rPr>
          <w:rFonts w:ascii="Calibri" w:hAnsi="Calibri" w:cs="Calibri"/>
        </w:rPr>
        <w:t xml:space="preserve"> </w:t>
      </w:r>
      <w:proofErr w:type="spellStart"/>
      <w:r w:rsidRPr="00194498">
        <w:rPr>
          <w:rFonts w:ascii="Calibri" w:hAnsi="Calibri" w:cs="Calibri"/>
        </w:rPr>
        <w:t>novca</w:t>
      </w:r>
      <w:proofErr w:type="spellEnd"/>
      <w:r w:rsidRPr="00194498">
        <w:rPr>
          <w:rFonts w:ascii="Calibri" w:hAnsi="Calibri" w:cs="Calibri"/>
        </w:rPr>
        <w:t xml:space="preserve">, </w:t>
      </w:r>
      <w:proofErr w:type="spellStart"/>
      <w:r w:rsidRPr="00194498">
        <w:rPr>
          <w:rFonts w:ascii="Calibri" w:hAnsi="Calibri" w:cs="Calibri"/>
        </w:rPr>
        <w:t>što</w:t>
      </w:r>
      <w:proofErr w:type="spellEnd"/>
      <w:r w:rsidRPr="00194498">
        <w:rPr>
          <w:rFonts w:ascii="Calibri" w:hAnsi="Calibri" w:cs="Calibri"/>
        </w:rPr>
        <w:t xml:space="preserve"> </w:t>
      </w:r>
      <w:proofErr w:type="spellStart"/>
      <w:r w:rsidRPr="00194498">
        <w:rPr>
          <w:rFonts w:ascii="Calibri" w:hAnsi="Calibri" w:cs="Calibri"/>
        </w:rPr>
        <w:t>može</w:t>
      </w:r>
      <w:proofErr w:type="spellEnd"/>
      <w:r w:rsidRPr="00194498">
        <w:rPr>
          <w:rFonts w:ascii="Calibri" w:hAnsi="Calibri" w:cs="Calibri"/>
        </w:rPr>
        <w:t xml:space="preserve"> </w:t>
      </w:r>
      <w:proofErr w:type="spellStart"/>
      <w:r w:rsidRPr="00194498">
        <w:rPr>
          <w:rFonts w:ascii="Calibri" w:hAnsi="Calibri" w:cs="Calibri"/>
        </w:rPr>
        <w:t>uticati</w:t>
      </w:r>
      <w:proofErr w:type="spellEnd"/>
      <w:r w:rsidRPr="00194498">
        <w:rPr>
          <w:rFonts w:ascii="Calibri" w:hAnsi="Calibri" w:cs="Calibri"/>
        </w:rPr>
        <w:t xml:space="preserve"> </w:t>
      </w:r>
      <w:proofErr w:type="spellStart"/>
      <w:r w:rsidRPr="00194498">
        <w:rPr>
          <w:rFonts w:ascii="Calibri" w:hAnsi="Calibri" w:cs="Calibri"/>
        </w:rPr>
        <w:t>na</w:t>
      </w:r>
      <w:proofErr w:type="spellEnd"/>
      <w:r w:rsidRPr="00194498">
        <w:rPr>
          <w:rFonts w:ascii="Calibri" w:hAnsi="Calibri" w:cs="Calibri"/>
        </w:rPr>
        <w:t xml:space="preserve"> </w:t>
      </w:r>
      <w:proofErr w:type="spellStart"/>
      <w:r w:rsidRPr="00194498">
        <w:rPr>
          <w:rFonts w:ascii="Calibri" w:hAnsi="Calibri" w:cs="Calibri"/>
        </w:rPr>
        <w:t>promjene</w:t>
      </w:r>
      <w:proofErr w:type="spellEnd"/>
      <w:r w:rsidRPr="00194498">
        <w:rPr>
          <w:rFonts w:ascii="Calibri" w:hAnsi="Calibri" w:cs="Calibri"/>
        </w:rPr>
        <w:t xml:space="preserve"> </w:t>
      </w:r>
      <w:proofErr w:type="spellStart"/>
      <w:r w:rsidRPr="00194498">
        <w:rPr>
          <w:rFonts w:ascii="Calibri" w:hAnsi="Calibri" w:cs="Calibri"/>
        </w:rPr>
        <w:t>vrijednosti</w:t>
      </w:r>
      <w:proofErr w:type="spellEnd"/>
      <w:r w:rsidRPr="00194498">
        <w:rPr>
          <w:rFonts w:ascii="Calibri" w:hAnsi="Calibri" w:cs="Calibri"/>
        </w:rPr>
        <w:t xml:space="preserve"> </w:t>
      </w:r>
      <w:proofErr w:type="spellStart"/>
      <w:r w:rsidRPr="00194498">
        <w:rPr>
          <w:rFonts w:ascii="Calibri" w:hAnsi="Calibri" w:cs="Calibri"/>
        </w:rPr>
        <w:t>hartija</w:t>
      </w:r>
      <w:proofErr w:type="spellEnd"/>
      <w:r w:rsidRPr="00194498">
        <w:rPr>
          <w:rFonts w:ascii="Calibri" w:hAnsi="Calibri" w:cs="Calibri"/>
        </w:rPr>
        <w:t xml:space="preserve"> </w:t>
      </w:r>
      <w:proofErr w:type="spellStart"/>
      <w:r w:rsidRPr="00194498">
        <w:rPr>
          <w:rFonts w:ascii="Calibri" w:hAnsi="Calibri" w:cs="Calibri"/>
        </w:rPr>
        <w:t>od</w:t>
      </w:r>
      <w:proofErr w:type="spellEnd"/>
      <w:r w:rsidRPr="00194498">
        <w:rPr>
          <w:rFonts w:ascii="Calibri" w:hAnsi="Calibri" w:cs="Calibri"/>
        </w:rPr>
        <w:t xml:space="preserve"> </w:t>
      </w:r>
      <w:proofErr w:type="spellStart"/>
      <w:r w:rsidRPr="00194498">
        <w:rPr>
          <w:rFonts w:ascii="Calibri" w:hAnsi="Calibri" w:cs="Calibri"/>
        </w:rPr>
        <w:t>vrijednosti</w:t>
      </w:r>
      <w:proofErr w:type="spellEnd"/>
      <w:r w:rsidRPr="00194498">
        <w:rPr>
          <w:rFonts w:ascii="Calibri" w:hAnsi="Calibri" w:cs="Calibri"/>
        </w:rPr>
        <w:t xml:space="preserve"> </w:t>
      </w:r>
      <w:proofErr w:type="spellStart"/>
      <w:r w:rsidRPr="00194498">
        <w:rPr>
          <w:rFonts w:ascii="Calibri" w:hAnsi="Calibri" w:cs="Calibri"/>
        </w:rPr>
        <w:t>i</w:t>
      </w:r>
      <w:proofErr w:type="spellEnd"/>
      <w:r w:rsidRPr="00194498">
        <w:rPr>
          <w:rFonts w:ascii="Calibri" w:hAnsi="Calibri" w:cs="Calibri"/>
        </w:rPr>
        <w:t xml:space="preserve"> </w:t>
      </w:r>
      <w:proofErr w:type="spellStart"/>
      <w:r w:rsidRPr="00194498">
        <w:rPr>
          <w:rFonts w:ascii="Calibri" w:hAnsi="Calibri" w:cs="Calibri"/>
        </w:rPr>
        <w:t>ostalih</w:t>
      </w:r>
      <w:proofErr w:type="spellEnd"/>
      <w:r w:rsidRPr="00194498">
        <w:rPr>
          <w:rFonts w:ascii="Calibri" w:hAnsi="Calibri" w:cs="Calibri"/>
        </w:rPr>
        <w:t xml:space="preserve"> </w:t>
      </w:r>
      <w:proofErr w:type="spellStart"/>
      <w:r w:rsidRPr="00194498">
        <w:rPr>
          <w:rFonts w:ascii="Calibri" w:hAnsi="Calibri" w:cs="Calibri"/>
        </w:rPr>
        <w:t>ulaganja</w:t>
      </w:r>
      <w:proofErr w:type="spellEnd"/>
      <w:r w:rsidRPr="00194498">
        <w:rPr>
          <w:rFonts w:ascii="Calibri" w:hAnsi="Calibri" w:cs="Calibri"/>
        </w:rPr>
        <w:t xml:space="preserve"> u </w:t>
      </w:r>
      <w:proofErr w:type="spellStart"/>
      <w:r w:rsidRPr="00194498">
        <w:rPr>
          <w:rFonts w:ascii="Calibri" w:hAnsi="Calibri" w:cs="Calibri"/>
        </w:rPr>
        <w:t>portfelju</w:t>
      </w:r>
      <w:proofErr w:type="spellEnd"/>
      <w:r w:rsidRPr="00194498">
        <w:rPr>
          <w:rFonts w:ascii="Calibri" w:hAnsi="Calibri" w:cs="Calibri"/>
        </w:rPr>
        <w:t xml:space="preserve"> Fonda. </w:t>
      </w:r>
      <w:proofErr w:type="spellStart"/>
      <w:r w:rsidRPr="00194498">
        <w:rPr>
          <w:rFonts w:ascii="Calibri" w:hAnsi="Calibri" w:cs="Calibri"/>
        </w:rPr>
        <w:t>Obzirom</w:t>
      </w:r>
      <w:proofErr w:type="spellEnd"/>
      <w:r w:rsidRPr="00194498">
        <w:rPr>
          <w:rFonts w:ascii="Calibri" w:hAnsi="Calibri" w:cs="Calibri"/>
        </w:rPr>
        <w:t xml:space="preserve"> </w:t>
      </w:r>
      <w:proofErr w:type="spellStart"/>
      <w:proofErr w:type="gramStart"/>
      <w:r w:rsidRPr="00194498">
        <w:rPr>
          <w:rFonts w:ascii="Calibri" w:hAnsi="Calibri" w:cs="Calibri"/>
        </w:rPr>
        <w:t>na</w:t>
      </w:r>
      <w:proofErr w:type="spellEnd"/>
      <w:proofErr w:type="gramEnd"/>
      <w:r w:rsidRPr="00194498">
        <w:rPr>
          <w:rFonts w:ascii="Calibri" w:hAnsi="Calibri" w:cs="Calibri"/>
        </w:rPr>
        <w:t xml:space="preserve"> </w:t>
      </w:r>
      <w:proofErr w:type="spellStart"/>
      <w:r w:rsidRPr="00194498">
        <w:rPr>
          <w:rFonts w:ascii="Calibri" w:hAnsi="Calibri" w:cs="Calibri"/>
        </w:rPr>
        <w:t>kratak</w:t>
      </w:r>
      <w:proofErr w:type="spellEnd"/>
      <w:r w:rsidRPr="00194498">
        <w:rPr>
          <w:rFonts w:ascii="Calibri" w:hAnsi="Calibri" w:cs="Calibri"/>
        </w:rPr>
        <w:t xml:space="preserve"> </w:t>
      </w:r>
      <w:proofErr w:type="spellStart"/>
      <w:r w:rsidRPr="00194498">
        <w:rPr>
          <w:rFonts w:ascii="Calibri" w:hAnsi="Calibri" w:cs="Calibri"/>
        </w:rPr>
        <w:t>vremenski</w:t>
      </w:r>
      <w:proofErr w:type="spellEnd"/>
      <w:r w:rsidRPr="00194498">
        <w:rPr>
          <w:rFonts w:ascii="Calibri" w:hAnsi="Calibri" w:cs="Calibri"/>
        </w:rPr>
        <w:t xml:space="preserve"> period </w:t>
      </w:r>
      <w:proofErr w:type="spellStart"/>
      <w:r w:rsidRPr="00194498">
        <w:rPr>
          <w:rFonts w:ascii="Calibri" w:hAnsi="Calibri" w:cs="Calibri"/>
        </w:rPr>
        <w:t>postojanja</w:t>
      </w:r>
      <w:proofErr w:type="spellEnd"/>
      <w:r w:rsidRPr="00194498">
        <w:rPr>
          <w:rFonts w:ascii="Calibri" w:hAnsi="Calibri" w:cs="Calibri"/>
        </w:rPr>
        <w:t xml:space="preserve"> </w:t>
      </w:r>
      <w:proofErr w:type="spellStart"/>
      <w:r w:rsidRPr="00194498">
        <w:rPr>
          <w:rFonts w:ascii="Calibri" w:hAnsi="Calibri" w:cs="Calibri"/>
        </w:rPr>
        <w:t>novčanog</w:t>
      </w:r>
      <w:proofErr w:type="spellEnd"/>
      <w:r w:rsidRPr="00194498">
        <w:rPr>
          <w:rFonts w:ascii="Calibri" w:hAnsi="Calibri" w:cs="Calibri"/>
        </w:rPr>
        <w:t xml:space="preserve"> Fonda ne </w:t>
      </w:r>
      <w:proofErr w:type="spellStart"/>
      <w:r w:rsidRPr="00194498">
        <w:rPr>
          <w:rFonts w:ascii="Calibri" w:hAnsi="Calibri" w:cs="Calibri"/>
        </w:rPr>
        <w:t>postoje</w:t>
      </w:r>
      <w:proofErr w:type="spellEnd"/>
      <w:r w:rsidRPr="00194498">
        <w:rPr>
          <w:rFonts w:ascii="Calibri" w:hAnsi="Calibri" w:cs="Calibri"/>
        </w:rPr>
        <w:t xml:space="preserve"> </w:t>
      </w:r>
      <w:proofErr w:type="spellStart"/>
      <w:r w:rsidRPr="00194498">
        <w:rPr>
          <w:rFonts w:ascii="Calibri" w:hAnsi="Calibri" w:cs="Calibri"/>
        </w:rPr>
        <w:t>istorijski</w:t>
      </w:r>
      <w:proofErr w:type="spellEnd"/>
      <w:r w:rsidRPr="00194498">
        <w:rPr>
          <w:rFonts w:ascii="Calibri" w:hAnsi="Calibri" w:cs="Calibri"/>
        </w:rPr>
        <w:t xml:space="preserve"> </w:t>
      </w:r>
      <w:proofErr w:type="spellStart"/>
      <w:r w:rsidRPr="00194498">
        <w:rPr>
          <w:rFonts w:ascii="Calibri" w:hAnsi="Calibri" w:cs="Calibri"/>
        </w:rPr>
        <w:t>podaci</w:t>
      </w:r>
      <w:proofErr w:type="spellEnd"/>
      <w:r w:rsidRPr="00194498">
        <w:rPr>
          <w:rFonts w:ascii="Calibri" w:hAnsi="Calibri" w:cs="Calibri"/>
        </w:rPr>
        <w:t xml:space="preserve"> </w:t>
      </w:r>
      <w:proofErr w:type="spellStart"/>
      <w:r w:rsidRPr="00194498">
        <w:rPr>
          <w:rFonts w:ascii="Calibri" w:hAnsi="Calibri" w:cs="Calibri"/>
        </w:rPr>
        <w:t>koji</w:t>
      </w:r>
      <w:proofErr w:type="spellEnd"/>
      <w:r w:rsidRPr="00194498">
        <w:rPr>
          <w:rFonts w:ascii="Calibri" w:hAnsi="Calibri" w:cs="Calibri"/>
        </w:rPr>
        <w:t xml:space="preserve"> bi </w:t>
      </w:r>
      <w:proofErr w:type="spellStart"/>
      <w:r w:rsidRPr="00194498">
        <w:rPr>
          <w:rFonts w:ascii="Calibri" w:hAnsi="Calibri" w:cs="Calibri"/>
        </w:rPr>
        <w:t>mogli</w:t>
      </w:r>
      <w:proofErr w:type="spellEnd"/>
      <w:r w:rsidRPr="00194498">
        <w:rPr>
          <w:rFonts w:ascii="Calibri" w:hAnsi="Calibri" w:cs="Calibri"/>
        </w:rPr>
        <w:t xml:space="preserve"> </w:t>
      </w:r>
      <w:proofErr w:type="spellStart"/>
      <w:r w:rsidRPr="00194498">
        <w:rPr>
          <w:rFonts w:ascii="Calibri" w:hAnsi="Calibri" w:cs="Calibri"/>
        </w:rPr>
        <w:t>poslužiti</w:t>
      </w:r>
      <w:proofErr w:type="spellEnd"/>
      <w:r w:rsidRPr="00194498">
        <w:rPr>
          <w:rFonts w:ascii="Calibri" w:hAnsi="Calibri" w:cs="Calibri"/>
        </w:rPr>
        <w:t xml:space="preserve"> </w:t>
      </w:r>
      <w:proofErr w:type="spellStart"/>
      <w:r w:rsidRPr="00194498">
        <w:rPr>
          <w:rFonts w:ascii="Calibri" w:hAnsi="Calibri" w:cs="Calibri"/>
        </w:rPr>
        <w:t>kao</w:t>
      </w:r>
      <w:proofErr w:type="spellEnd"/>
      <w:r w:rsidRPr="00194498">
        <w:rPr>
          <w:rFonts w:ascii="Calibri" w:hAnsi="Calibri" w:cs="Calibri"/>
        </w:rPr>
        <w:t xml:space="preserve"> </w:t>
      </w:r>
      <w:proofErr w:type="spellStart"/>
      <w:r w:rsidRPr="00194498">
        <w:rPr>
          <w:rFonts w:ascii="Calibri" w:hAnsi="Calibri" w:cs="Calibri"/>
        </w:rPr>
        <w:t>pouzdanija</w:t>
      </w:r>
      <w:proofErr w:type="spellEnd"/>
      <w:r w:rsidRPr="00194498">
        <w:rPr>
          <w:rFonts w:ascii="Calibri" w:hAnsi="Calibri" w:cs="Calibri"/>
        </w:rPr>
        <w:t xml:space="preserve"> </w:t>
      </w:r>
      <w:proofErr w:type="spellStart"/>
      <w:r w:rsidRPr="00194498">
        <w:rPr>
          <w:rFonts w:ascii="Calibri" w:hAnsi="Calibri" w:cs="Calibri"/>
        </w:rPr>
        <w:t>procjena</w:t>
      </w:r>
      <w:proofErr w:type="spellEnd"/>
      <w:r w:rsidRPr="00194498">
        <w:rPr>
          <w:rFonts w:ascii="Calibri" w:hAnsi="Calibri" w:cs="Calibri"/>
        </w:rPr>
        <w:t xml:space="preserve"> </w:t>
      </w:r>
      <w:proofErr w:type="spellStart"/>
      <w:r w:rsidRPr="00194498">
        <w:rPr>
          <w:rFonts w:ascii="Calibri" w:hAnsi="Calibri" w:cs="Calibri"/>
        </w:rPr>
        <w:t>budućih</w:t>
      </w:r>
      <w:proofErr w:type="spellEnd"/>
      <w:r w:rsidRPr="00194498">
        <w:rPr>
          <w:rFonts w:ascii="Calibri" w:hAnsi="Calibri" w:cs="Calibri"/>
        </w:rPr>
        <w:t xml:space="preserve"> </w:t>
      </w:r>
      <w:proofErr w:type="spellStart"/>
      <w:r w:rsidRPr="00194498">
        <w:rPr>
          <w:rFonts w:ascii="Calibri" w:hAnsi="Calibri" w:cs="Calibri"/>
        </w:rPr>
        <w:t>performansi</w:t>
      </w:r>
      <w:proofErr w:type="spellEnd"/>
      <w:r w:rsidRPr="00194498">
        <w:rPr>
          <w:rFonts w:ascii="Calibri" w:hAnsi="Calibri" w:cs="Calibri"/>
        </w:rPr>
        <w:t xml:space="preserve"> Fonda.</w:t>
      </w:r>
    </w:p>
    <w:p w:rsidR="0010199A" w:rsidRPr="00194498" w:rsidRDefault="0010199A" w:rsidP="0010199A">
      <w:pPr>
        <w:jc w:val="both"/>
        <w:rPr>
          <w:rFonts w:ascii="Calibri" w:hAnsi="Calibri" w:cs="Calibri"/>
        </w:rPr>
      </w:pPr>
    </w:p>
    <w:p w:rsidR="000C483E" w:rsidRDefault="0010199A" w:rsidP="0010199A">
      <w:pPr>
        <w:jc w:val="both"/>
        <w:rPr>
          <w:rFonts w:ascii="Calibri" w:hAnsi="Calibri" w:cs="Calibri"/>
        </w:rPr>
      </w:pPr>
      <w:r w:rsidRPr="00194498">
        <w:rPr>
          <w:rFonts w:ascii="Calibri" w:hAnsi="Calibri" w:cs="Calibri"/>
        </w:rPr>
        <w:t xml:space="preserve">Na </w:t>
      </w:r>
      <w:proofErr w:type="spellStart"/>
      <w:r w:rsidRPr="00194498">
        <w:rPr>
          <w:rFonts w:ascii="Calibri" w:hAnsi="Calibri" w:cs="Calibri"/>
        </w:rPr>
        <w:t>dan</w:t>
      </w:r>
      <w:proofErr w:type="spellEnd"/>
      <w:r w:rsidRPr="00194498">
        <w:rPr>
          <w:rFonts w:ascii="Calibri" w:hAnsi="Calibri" w:cs="Calibri"/>
        </w:rPr>
        <w:t xml:space="preserve"> </w:t>
      </w:r>
      <w:proofErr w:type="spellStart"/>
      <w:r w:rsidRPr="00194498">
        <w:rPr>
          <w:rFonts w:ascii="Calibri" w:hAnsi="Calibri" w:cs="Calibri"/>
        </w:rPr>
        <w:t>bilansa</w:t>
      </w:r>
      <w:proofErr w:type="spellEnd"/>
      <w:r w:rsidRPr="00194498">
        <w:rPr>
          <w:rFonts w:ascii="Calibri" w:hAnsi="Calibri" w:cs="Calibri"/>
        </w:rPr>
        <w:t xml:space="preserve"> Fond je </w:t>
      </w:r>
      <w:proofErr w:type="spellStart"/>
      <w:proofErr w:type="gramStart"/>
      <w:r w:rsidRPr="00194498">
        <w:rPr>
          <w:rFonts w:ascii="Calibri" w:hAnsi="Calibri" w:cs="Calibri"/>
        </w:rPr>
        <w:t>na</w:t>
      </w:r>
      <w:proofErr w:type="spellEnd"/>
      <w:proofErr w:type="gramEnd"/>
      <w:r w:rsidRPr="00194498">
        <w:rPr>
          <w:rFonts w:ascii="Calibri" w:hAnsi="Calibri" w:cs="Calibri"/>
        </w:rPr>
        <w:t xml:space="preserve"> </w:t>
      </w:r>
      <w:proofErr w:type="spellStart"/>
      <w:r w:rsidRPr="00194498">
        <w:rPr>
          <w:rFonts w:ascii="Calibri" w:hAnsi="Calibri" w:cs="Calibri"/>
        </w:rPr>
        <w:t>dnevnom</w:t>
      </w:r>
      <w:proofErr w:type="spellEnd"/>
      <w:r w:rsidRPr="00194498">
        <w:rPr>
          <w:rFonts w:ascii="Calibri" w:hAnsi="Calibri" w:cs="Calibri"/>
        </w:rPr>
        <w:t xml:space="preserve"> </w:t>
      </w:r>
      <w:proofErr w:type="spellStart"/>
      <w:r w:rsidRPr="00194498">
        <w:rPr>
          <w:rFonts w:ascii="Calibri" w:hAnsi="Calibri" w:cs="Calibri"/>
        </w:rPr>
        <w:t>nivou</w:t>
      </w:r>
      <w:proofErr w:type="spellEnd"/>
      <w:r w:rsidRPr="00194498">
        <w:rPr>
          <w:rFonts w:ascii="Calibri" w:hAnsi="Calibri" w:cs="Calibri"/>
        </w:rPr>
        <w:t xml:space="preserve"> </w:t>
      </w:r>
      <w:proofErr w:type="spellStart"/>
      <w:r w:rsidRPr="00194498">
        <w:rPr>
          <w:rFonts w:ascii="Calibri" w:hAnsi="Calibri" w:cs="Calibri"/>
        </w:rPr>
        <w:t>otvoren</w:t>
      </w:r>
      <w:proofErr w:type="spellEnd"/>
      <w:r w:rsidRPr="00194498">
        <w:rPr>
          <w:rFonts w:ascii="Calibri" w:hAnsi="Calibri" w:cs="Calibri"/>
        </w:rPr>
        <w:t xml:space="preserve">. </w:t>
      </w:r>
      <w:proofErr w:type="spellStart"/>
      <w:r w:rsidRPr="00194498">
        <w:rPr>
          <w:rFonts w:ascii="Calibri" w:hAnsi="Calibri" w:cs="Calibri"/>
        </w:rPr>
        <w:t>Obaveza</w:t>
      </w:r>
      <w:proofErr w:type="spellEnd"/>
      <w:r w:rsidRPr="00194498">
        <w:rPr>
          <w:rFonts w:ascii="Calibri" w:hAnsi="Calibri" w:cs="Calibri"/>
        </w:rPr>
        <w:t xml:space="preserve"> </w:t>
      </w:r>
      <w:proofErr w:type="spellStart"/>
      <w:r w:rsidRPr="00194498">
        <w:rPr>
          <w:rFonts w:ascii="Calibri" w:hAnsi="Calibri" w:cs="Calibri"/>
        </w:rPr>
        <w:t>isplate</w:t>
      </w:r>
      <w:proofErr w:type="spellEnd"/>
      <w:r w:rsidRPr="00194498">
        <w:rPr>
          <w:rFonts w:ascii="Calibri" w:hAnsi="Calibri" w:cs="Calibri"/>
        </w:rPr>
        <w:t xml:space="preserve"> </w:t>
      </w:r>
      <w:proofErr w:type="spellStart"/>
      <w:r w:rsidRPr="00194498">
        <w:rPr>
          <w:rFonts w:ascii="Calibri" w:hAnsi="Calibri" w:cs="Calibri"/>
        </w:rPr>
        <w:t>udjela</w:t>
      </w:r>
      <w:proofErr w:type="spellEnd"/>
      <w:r w:rsidRPr="00194498">
        <w:rPr>
          <w:rFonts w:ascii="Calibri" w:hAnsi="Calibri" w:cs="Calibri"/>
        </w:rPr>
        <w:t xml:space="preserve"> u </w:t>
      </w:r>
      <w:proofErr w:type="spellStart"/>
      <w:r w:rsidRPr="00194498">
        <w:rPr>
          <w:rFonts w:ascii="Calibri" w:hAnsi="Calibri" w:cs="Calibri"/>
        </w:rPr>
        <w:t>roku</w:t>
      </w:r>
      <w:proofErr w:type="spellEnd"/>
      <w:r w:rsidRPr="00194498">
        <w:rPr>
          <w:rFonts w:ascii="Calibri" w:hAnsi="Calibri" w:cs="Calibri"/>
        </w:rPr>
        <w:t xml:space="preserve"> </w:t>
      </w:r>
      <w:proofErr w:type="gramStart"/>
      <w:r w:rsidRPr="00194498">
        <w:rPr>
          <w:rFonts w:ascii="Calibri" w:hAnsi="Calibri" w:cs="Calibri"/>
        </w:rPr>
        <w:t>od</w:t>
      </w:r>
      <w:proofErr w:type="gramEnd"/>
      <w:r w:rsidRPr="00194498">
        <w:rPr>
          <w:rFonts w:ascii="Calibri" w:hAnsi="Calibri" w:cs="Calibri"/>
        </w:rPr>
        <w:t xml:space="preserve"> 5 </w:t>
      </w:r>
      <w:proofErr w:type="spellStart"/>
      <w:r w:rsidRPr="00194498">
        <w:rPr>
          <w:rFonts w:ascii="Calibri" w:hAnsi="Calibri" w:cs="Calibri"/>
        </w:rPr>
        <w:t>radnih</w:t>
      </w:r>
      <w:proofErr w:type="spellEnd"/>
      <w:r w:rsidRPr="00194498">
        <w:rPr>
          <w:rFonts w:ascii="Calibri" w:hAnsi="Calibri" w:cs="Calibri"/>
        </w:rPr>
        <w:t xml:space="preserve"> dana od dana </w:t>
      </w:r>
      <w:proofErr w:type="spellStart"/>
      <w:r w:rsidRPr="00194498">
        <w:rPr>
          <w:rFonts w:ascii="Calibri" w:hAnsi="Calibri" w:cs="Calibri"/>
        </w:rPr>
        <w:t>obračuna</w:t>
      </w:r>
      <w:proofErr w:type="spellEnd"/>
      <w:r w:rsidRPr="00194498">
        <w:rPr>
          <w:rFonts w:ascii="Calibri" w:hAnsi="Calibri" w:cs="Calibri"/>
        </w:rPr>
        <w:t xml:space="preserve"> </w:t>
      </w:r>
      <w:proofErr w:type="spellStart"/>
      <w:r w:rsidRPr="00194498">
        <w:rPr>
          <w:rFonts w:ascii="Calibri" w:hAnsi="Calibri" w:cs="Calibri"/>
        </w:rPr>
        <w:t>može</w:t>
      </w:r>
      <w:proofErr w:type="spellEnd"/>
      <w:r w:rsidRPr="00194498">
        <w:rPr>
          <w:rFonts w:ascii="Calibri" w:hAnsi="Calibri" w:cs="Calibri"/>
        </w:rPr>
        <w:t xml:space="preserve"> </w:t>
      </w:r>
      <w:proofErr w:type="spellStart"/>
      <w:r w:rsidRPr="00194498">
        <w:rPr>
          <w:rFonts w:ascii="Calibri" w:hAnsi="Calibri" w:cs="Calibri"/>
        </w:rPr>
        <w:t>imati</w:t>
      </w:r>
      <w:proofErr w:type="spellEnd"/>
      <w:r w:rsidRPr="00194498">
        <w:rPr>
          <w:rFonts w:ascii="Calibri" w:hAnsi="Calibri" w:cs="Calibri"/>
        </w:rPr>
        <w:t xml:space="preserve"> </w:t>
      </w:r>
      <w:proofErr w:type="spellStart"/>
      <w:r w:rsidRPr="00194498">
        <w:rPr>
          <w:rFonts w:ascii="Calibri" w:hAnsi="Calibri" w:cs="Calibri"/>
        </w:rPr>
        <w:t>značajan</w:t>
      </w:r>
      <w:proofErr w:type="spellEnd"/>
      <w:r w:rsidRPr="00194498">
        <w:rPr>
          <w:rFonts w:ascii="Calibri" w:hAnsi="Calibri" w:cs="Calibri"/>
        </w:rPr>
        <w:t xml:space="preserve"> </w:t>
      </w:r>
      <w:proofErr w:type="spellStart"/>
      <w:r w:rsidRPr="00194498">
        <w:rPr>
          <w:rFonts w:ascii="Calibri" w:hAnsi="Calibri" w:cs="Calibri"/>
        </w:rPr>
        <w:t>uticaj</w:t>
      </w:r>
      <w:proofErr w:type="spellEnd"/>
      <w:r w:rsidRPr="00194498">
        <w:rPr>
          <w:rFonts w:ascii="Calibri" w:hAnsi="Calibri" w:cs="Calibri"/>
        </w:rPr>
        <w:t xml:space="preserve"> </w:t>
      </w:r>
      <w:proofErr w:type="spellStart"/>
      <w:r w:rsidRPr="00194498">
        <w:rPr>
          <w:rFonts w:ascii="Calibri" w:hAnsi="Calibri" w:cs="Calibri"/>
        </w:rPr>
        <w:t>na</w:t>
      </w:r>
      <w:proofErr w:type="spellEnd"/>
      <w:r w:rsidRPr="00194498">
        <w:rPr>
          <w:rFonts w:ascii="Calibri" w:hAnsi="Calibri" w:cs="Calibri"/>
        </w:rPr>
        <w:t xml:space="preserve"> </w:t>
      </w:r>
      <w:proofErr w:type="spellStart"/>
      <w:r w:rsidRPr="00194498">
        <w:rPr>
          <w:rFonts w:ascii="Calibri" w:hAnsi="Calibri" w:cs="Calibri"/>
        </w:rPr>
        <w:t>likvidnost</w:t>
      </w:r>
      <w:proofErr w:type="spellEnd"/>
      <w:r w:rsidRPr="00194498">
        <w:rPr>
          <w:rFonts w:ascii="Calibri" w:hAnsi="Calibri" w:cs="Calibri"/>
        </w:rPr>
        <w:t xml:space="preserve"> </w:t>
      </w:r>
      <w:proofErr w:type="spellStart"/>
      <w:r w:rsidRPr="00194498">
        <w:rPr>
          <w:rFonts w:ascii="Calibri" w:hAnsi="Calibri" w:cs="Calibri"/>
        </w:rPr>
        <w:t>fonda</w:t>
      </w:r>
      <w:proofErr w:type="spellEnd"/>
      <w:r w:rsidRPr="00194498">
        <w:rPr>
          <w:rFonts w:ascii="Calibri" w:hAnsi="Calibri" w:cs="Calibri"/>
        </w:rPr>
        <w:t xml:space="preserve"> </w:t>
      </w:r>
      <w:proofErr w:type="spellStart"/>
      <w:r w:rsidRPr="00194498">
        <w:rPr>
          <w:rFonts w:ascii="Calibri" w:hAnsi="Calibri" w:cs="Calibri"/>
        </w:rPr>
        <w:t>uzimajući</w:t>
      </w:r>
      <w:proofErr w:type="spellEnd"/>
      <w:r w:rsidRPr="00194498">
        <w:rPr>
          <w:rFonts w:ascii="Calibri" w:hAnsi="Calibri" w:cs="Calibri"/>
        </w:rPr>
        <w:t xml:space="preserve"> u </w:t>
      </w:r>
      <w:proofErr w:type="spellStart"/>
      <w:r w:rsidRPr="00194498">
        <w:rPr>
          <w:rFonts w:ascii="Calibri" w:hAnsi="Calibri" w:cs="Calibri"/>
        </w:rPr>
        <w:t>obzir</w:t>
      </w:r>
      <w:proofErr w:type="spellEnd"/>
      <w:r w:rsidRPr="00194498">
        <w:rPr>
          <w:rFonts w:ascii="Calibri" w:hAnsi="Calibri" w:cs="Calibri"/>
        </w:rPr>
        <w:t xml:space="preserve"> </w:t>
      </w:r>
      <w:proofErr w:type="spellStart"/>
      <w:r w:rsidRPr="00194498">
        <w:rPr>
          <w:rFonts w:ascii="Calibri" w:hAnsi="Calibri" w:cs="Calibri"/>
        </w:rPr>
        <w:t>postojeću</w:t>
      </w:r>
      <w:proofErr w:type="spellEnd"/>
      <w:r w:rsidRPr="00194498">
        <w:rPr>
          <w:rFonts w:ascii="Calibri" w:hAnsi="Calibri" w:cs="Calibri"/>
        </w:rPr>
        <w:t xml:space="preserve"> </w:t>
      </w:r>
      <w:proofErr w:type="spellStart"/>
      <w:r w:rsidRPr="00194498">
        <w:rPr>
          <w:rFonts w:ascii="Calibri" w:hAnsi="Calibri" w:cs="Calibri"/>
        </w:rPr>
        <w:t>likvidnost</w:t>
      </w:r>
      <w:proofErr w:type="spellEnd"/>
      <w:r w:rsidRPr="00194498">
        <w:rPr>
          <w:rFonts w:ascii="Calibri" w:hAnsi="Calibri" w:cs="Calibri"/>
        </w:rPr>
        <w:t xml:space="preserve"> </w:t>
      </w:r>
      <w:proofErr w:type="spellStart"/>
      <w:r w:rsidRPr="00194498">
        <w:rPr>
          <w:rFonts w:ascii="Calibri" w:hAnsi="Calibri" w:cs="Calibri"/>
        </w:rPr>
        <w:t>hartija</w:t>
      </w:r>
      <w:proofErr w:type="spellEnd"/>
      <w:r w:rsidRPr="00194498">
        <w:rPr>
          <w:rFonts w:ascii="Calibri" w:hAnsi="Calibri" w:cs="Calibri"/>
        </w:rPr>
        <w:t xml:space="preserve"> </w:t>
      </w:r>
      <w:proofErr w:type="spellStart"/>
      <w:r w:rsidRPr="00194498">
        <w:rPr>
          <w:rFonts w:ascii="Calibri" w:hAnsi="Calibri" w:cs="Calibri"/>
        </w:rPr>
        <w:t>kojima</w:t>
      </w:r>
      <w:proofErr w:type="spellEnd"/>
      <w:r w:rsidRPr="00194498">
        <w:rPr>
          <w:rFonts w:ascii="Calibri" w:hAnsi="Calibri" w:cs="Calibri"/>
        </w:rPr>
        <w:t xml:space="preserve"> se </w:t>
      </w:r>
      <w:proofErr w:type="spellStart"/>
      <w:r w:rsidRPr="00194498">
        <w:rPr>
          <w:rFonts w:ascii="Calibri" w:hAnsi="Calibri" w:cs="Calibri"/>
        </w:rPr>
        <w:t>trguje</w:t>
      </w:r>
      <w:proofErr w:type="spellEnd"/>
      <w:r w:rsidRPr="00194498">
        <w:rPr>
          <w:rFonts w:ascii="Calibri" w:hAnsi="Calibri" w:cs="Calibri"/>
        </w:rPr>
        <w:t xml:space="preserve"> </w:t>
      </w:r>
      <w:proofErr w:type="spellStart"/>
      <w:r w:rsidRPr="00194498">
        <w:rPr>
          <w:rFonts w:ascii="Calibri" w:hAnsi="Calibri" w:cs="Calibri"/>
        </w:rPr>
        <w:t>na</w:t>
      </w:r>
      <w:proofErr w:type="spellEnd"/>
      <w:r w:rsidRPr="00194498">
        <w:rPr>
          <w:rFonts w:ascii="Calibri" w:hAnsi="Calibri" w:cs="Calibri"/>
        </w:rPr>
        <w:t xml:space="preserve"> </w:t>
      </w:r>
      <w:proofErr w:type="spellStart"/>
      <w:r w:rsidRPr="00194498">
        <w:rPr>
          <w:rFonts w:ascii="Calibri" w:hAnsi="Calibri" w:cs="Calibri"/>
        </w:rPr>
        <w:t>domaćem</w:t>
      </w:r>
      <w:proofErr w:type="spellEnd"/>
      <w:r w:rsidRPr="00194498">
        <w:rPr>
          <w:rFonts w:ascii="Calibri" w:hAnsi="Calibri" w:cs="Calibri"/>
        </w:rPr>
        <w:t xml:space="preserve"> </w:t>
      </w:r>
      <w:proofErr w:type="spellStart"/>
      <w:r w:rsidRPr="00194498">
        <w:rPr>
          <w:rFonts w:ascii="Calibri" w:hAnsi="Calibri" w:cs="Calibri"/>
        </w:rPr>
        <w:t>tržištu</w:t>
      </w:r>
      <w:proofErr w:type="spellEnd"/>
      <w:r w:rsidRPr="00194498">
        <w:rPr>
          <w:rFonts w:ascii="Calibri" w:hAnsi="Calibri" w:cs="Calibri"/>
        </w:rPr>
        <w:t xml:space="preserve">.  </w:t>
      </w:r>
    </w:p>
    <w:p w:rsidR="00493360" w:rsidRPr="0010199A" w:rsidRDefault="00493360" w:rsidP="0010199A">
      <w:pPr>
        <w:jc w:val="both"/>
        <w:rPr>
          <w:rFonts w:ascii="Calibri" w:hAnsi="Calibri" w:cs="Calibri"/>
        </w:rPr>
      </w:pPr>
    </w:p>
    <w:p w:rsidR="000C483E" w:rsidRPr="00130798" w:rsidRDefault="000C483E" w:rsidP="00130798">
      <w:pPr>
        <w:pStyle w:val="Heading1"/>
        <w:rPr>
          <w:rFonts w:ascii="Calibri" w:hAnsi="Calibri" w:cs="Calibri"/>
          <w:noProof/>
          <w:sz w:val="24"/>
          <w:szCs w:val="24"/>
        </w:rPr>
      </w:pPr>
      <w:bookmarkStart w:id="39" w:name="_Toc506645338"/>
      <w:bookmarkStart w:id="40" w:name="_Toc64534464"/>
      <w:r w:rsidRPr="00A47E7E">
        <w:rPr>
          <w:rFonts w:ascii="Calibri" w:hAnsi="Calibri" w:cs="Calibri"/>
          <w:noProof/>
          <w:sz w:val="24"/>
          <w:szCs w:val="24"/>
        </w:rPr>
        <w:t>DEVIZNI KURSEVI</w:t>
      </w:r>
      <w:bookmarkEnd w:id="39"/>
      <w:bookmarkEnd w:id="40"/>
    </w:p>
    <w:p w:rsidR="000E0EAC" w:rsidRDefault="000C483E" w:rsidP="00185103">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p w:rsidR="00E52588" w:rsidRDefault="00E52588" w:rsidP="0003113B">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93530" w:rsidRDefault="00893530" w:rsidP="0003113B">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93530" w:rsidRDefault="00C22436" w:rsidP="008C46DC">
      <w:pPr>
        <w:rPr>
          <w:rFonts w:ascii="Calibri" w:hAnsi="Calibri" w:cs="Arial"/>
          <w:noProof/>
        </w:rPr>
      </w:pPr>
      <w:r>
        <w:rPr>
          <w:noProof/>
        </w:rPr>
        <w:lastRenderedPageBreak/>
        <w:drawing>
          <wp:inline distT="0" distB="0" distL="0" distR="0">
            <wp:extent cx="5676900" cy="1352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6900" cy="1352550"/>
                    </a:xfrm>
                    <a:prstGeom prst="rect">
                      <a:avLst/>
                    </a:prstGeom>
                    <a:noFill/>
                    <a:ln>
                      <a:noFill/>
                    </a:ln>
                  </pic:spPr>
                </pic:pic>
              </a:graphicData>
            </a:graphic>
          </wp:inline>
        </w:drawing>
      </w:r>
    </w:p>
    <w:p w:rsidR="00893530" w:rsidRDefault="00893530" w:rsidP="008C46DC">
      <w:pPr>
        <w:rPr>
          <w:rFonts w:ascii="Calibri" w:hAnsi="Calibri" w:cs="Arial"/>
          <w:noProof/>
        </w:rPr>
      </w:pPr>
    </w:p>
    <w:p w:rsidR="006B357F" w:rsidRPr="0028068A" w:rsidRDefault="006B357F" w:rsidP="006B357F">
      <w:pPr>
        <w:jc w:val="center"/>
      </w:pPr>
    </w:p>
    <w:p w:rsidR="006B357F" w:rsidRPr="0028068A" w:rsidRDefault="006B357F" w:rsidP="006B357F">
      <w:pPr>
        <w:rPr>
          <w:rFonts w:ascii="Calibri" w:hAnsi="Calibri" w:cs="Calibri"/>
        </w:rPr>
      </w:pPr>
      <w:r w:rsidRPr="0028068A">
        <w:rPr>
          <w:rFonts w:ascii="Calibri" w:hAnsi="Calibri" w:cs="Calibri"/>
        </w:rPr>
        <w:t>U Banja Luci,</w:t>
      </w:r>
    </w:p>
    <w:p w:rsidR="006B357F" w:rsidRPr="0028068A" w:rsidRDefault="006B357F" w:rsidP="006B357F">
      <w:pPr>
        <w:rPr>
          <w:rFonts w:ascii="Calibri" w:hAnsi="Calibri" w:cs="Calibri"/>
        </w:rPr>
      </w:pPr>
    </w:p>
    <w:p w:rsidR="006B357F" w:rsidRPr="0028068A" w:rsidRDefault="006B357F" w:rsidP="006B357F">
      <w:pPr>
        <w:rPr>
          <w:rFonts w:ascii="Calibri" w:hAnsi="Calibri" w:cs="Calibri"/>
        </w:rPr>
      </w:pPr>
      <w:r w:rsidRPr="0028068A">
        <w:rPr>
          <w:rFonts w:ascii="Calibri" w:hAnsi="Calibri" w:cs="Calibri"/>
        </w:rPr>
        <w:t xml:space="preserve">Dana _____________ </w:t>
      </w:r>
    </w:p>
    <w:p w:rsidR="006B357F" w:rsidRPr="0028068A" w:rsidRDefault="006B357F" w:rsidP="006B357F"/>
    <w:p w:rsidR="006B357F" w:rsidRPr="00A21FCB" w:rsidRDefault="00A21FCB" w:rsidP="00A21FCB">
      <w:pPr>
        <w:tabs>
          <w:tab w:val="left" w:pos="3872"/>
          <w:tab w:val="right" w:pos="8952"/>
        </w:tabs>
      </w:pPr>
      <w:r>
        <w:tab/>
        <w:t>MP</w:t>
      </w:r>
      <w:r>
        <w:tab/>
        <w:t>______________________</w:t>
      </w:r>
    </w:p>
    <w:sectPr w:rsidR="006B357F" w:rsidRPr="00A21FCB" w:rsidSect="00AF6BE9">
      <w:footerReference w:type="even" r:id="rId10"/>
      <w:footerReference w:type="default" r:id="rId11"/>
      <w:pgSz w:w="12240" w:h="15840"/>
      <w:pgMar w:top="1440" w:right="1644" w:bottom="1440"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8DF" w:rsidRDefault="003908DF">
      <w:r>
        <w:separator/>
      </w:r>
    </w:p>
  </w:endnote>
  <w:endnote w:type="continuationSeparator" w:id="0">
    <w:p w:rsidR="003908DF" w:rsidRDefault="00390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DF" w:rsidRDefault="003908DF"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08DF" w:rsidRDefault="003908DF"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8DF" w:rsidRDefault="003908DF"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6EC7">
      <w:rPr>
        <w:rStyle w:val="PageNumber"/>
        <w:noProof/>
      </w:rPr>
      <w:t>22</w:t>
    </w:r>
    <w:r>
      <w:rPr>
        <w:rStyle w:val="PageNumber"/>
      </w:rPr>
      <w:fldChar w:fldCharType="end"/>
    </w:r>
  </w:p>
  <w:p w:rsidR="003908DF" w:rsidRDefault="003908DF"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8DF" w:rsidRDefault="003908DF">
      <w:r>
        <w:separator/>
      </w:r>
    </w:p>
  </w:footnote>
  <w:footnote w:type="continuationSeparator" w:id="0">
    <w:p w:rsidR="003908DF" w:rsidRDefault="003908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257A1F"/>
    <w:multiLevelType w:val="hybridMultilevel"/>
    <w:tmpl w:val="74F44806"/>
    <w:lvl w:ilvl="0" w:tplc="241A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6">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7">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1">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803FCA"/>
    <w:multiLevelType w:val="hybridMultilevel"/>
    <w:tmpl w:val="50902CB0"/>
    <w:lvl w:ilvl="0" w:tplc="B09E43B8">
      <w:start w:val="1"/>
      <w:numFmt w:val="decimal"/>
      <w:pStyle w:val="Stil1"/>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
    <w:nsid w:val="58B42EEB"/>
    <w:multiLevelType w:val="hybridMultilevel"/>
    <w:tmpl w:val="7AF446C8"/>
    <w:lvl w:ilvl="0" w:tplc="C7C0C0C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32">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5">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7">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41">
    <w:nsid w:val="7708313F"/>
    <w:multiLevelType w:val="hybridMultilevel"/>
    <w:tmpl w:val="6A801A34"/>
    <w:lvl w:ilvl="0" w:tplc="2D40619E">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42">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4">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30"/>
  </w:num>
  <w:num w:numId="2">
    <w:abstractNumId w:val="9"/>
  </w:num>
  <w:num w:numId="3">
    <w:abstractNumId w:val="36"/>
  </w:num>
  <w:num w:numId="4">
    <w:abstractNumId w:val="15"/>
  </w:num>
  <w:num w:numId="5">
    <w:abstractNumId w:val="18"/>
  </w:num>
  <w:num w:numId="6">
    <w:abstractNumId w:val="42"/>
  </w:num>
  <w:num w:numId="7">
    <w:abstractNumId w:val="44"/>
  </w:num>
  <w:num w:numId="8">
    <w:abstractNumId w:val="22"/>
  </w:num>
  <w:num w:numId="9">
    <w:abstractNumId w:val="39"/>
  </w:num>
  <w:num w:numId="10">
    <w:abstractNumId w:val="32"/>
  </w:num>
  <w:num w:numId="11">
    <w:abstractNumId w:val="11"/>
  </w:num>
  <w:num w:numId="12">
    <w:abstractNumId w:val="4"/>
  </w:num>
  <w:num w:numId="13">
    <w:abstractNumId w:val="16"/>
  </w:num>
  <w:num w:numId="14">
    <w:abstractNumId w:val="40"/>
  </w:num>
  <w:num w:numId="15">
    <w:abstractNumId w:val="43"/>
  </w:num>
  <w:num w:numId="16">
    <w:abstractNumId w:val="20"/>
  </w:num>
  <w:num w:numId="17">
    <w:abstractNumId w:val="38"/>
  </w:num>
  <w:num w:numId="18">
    <w:abstractNumId w:val="34"/>
  </w:num>
  <w:num w:numId="19">
    <w:abstractNumId w:val="13"/>
  </w:num>
  <w:num w:numId="20">
    <w:abstractNumId w:val="27"/>
  </w:num>
  <w:num w:numId="21">
    <w:abstractNumId w:val="1"/>
  </w:num>
  <w:num w:numId="22">
    <w:abstractNumId w:val="33"/>
  </w:num>
  <w:num w:numId="23">
    <w:abstractNumId w:val="28"/>
  </w:num>
  <w:num w:numId="24">
    <w:abstractNumId w:val="0"/>
  </w:num>
  <w:num w:numId="25">
    <w:abstractNumId w:val="10"/>
  </w:num>
  <w:num w:numId="26">
    <w:abstractNumId w:val="23"/>
  </w:num>
  <w:num w:numId="27">
    <w:abstractNumId w:val="2"/>
  </w:num>
  <w:num w:numId="28">
    <w:abstractNumId w:val="26"/>
  </w:num>
  <w:num w:numId="29">
    <w:abstractNumId w:val="19"/>
  </w:num>
  <w:num w:numId="30">
    <w:abstractNumId w:val="7"/>
  </w:num>
  <w:num w:numId="31">
    <w:abstractNumId w:val="37"/>
  </w:num>
  <w:num w:numId="32">
    <w:abstractNumId w:val="14"/>
  </w:num>
  <w:num w:numId="33">
    <w:abstractNumId w:val="17"/>
  </w:num>
  <w:num w:numId="34">
    <w:abstractNumId w:val="3"/>
  </w:num>
  <w:num w:numId="35">
    <w:abstractNumId w:val="35"/>
  </w:num>
  <w:num w:numId="36">
    <w:abstractNumId w:val="8"/>
  </w:num>
  <w:num w:numId="37">
    <w:abstractNumId w:val="6"/>
  </w:num>
  <w:num w:numId="38">
    <w:abstractNumId w:val="12"/>
  </w:num>
  <w:num w:numId="39">
    <w:abstractNumId w:val="21"/>
  </w:num>
  <w:num w:numId="40">
    <w:abstractNumId w:val="25"/>
  </w:num>
  <w:num w:numId="41">
    <w:abstractNumId w:val="31"/>
  </w:num>
  <w:num w:numId="42">
    <w:abstractNumId w:val="41"/>
  </w:num>
  <w:num w:numId="43">
    <w:abstractNumId w:val="5"/>
  </w:num>
  <w:num w:numId="44">
    <w:abstractNumId w:val="29"/>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944"/>
    <w:rsid w:val="000029A2"/>
    <w:rsid w:val="00004F31"/>
    <w:rsid w:val="00005285"/>
    <w:rsid w:val="000077B8"/>
    <w:rsid w:val="00007F24"/>
    <w:rsid w:val="000120EE"/>
    <w:rsid w:val="00012461"/>
    <w:rsid w:val="0001289A"/>
    <w:rsid w:val="00012A11"/>
    <w:rsid w:val="00012C36"/>
    <w:rsid w:val="00016EBE"/>
    <w:rsid w:val="000171CD"/>
    <w:rsid w:val="000203A6"/>
    <w:rsid w:val="00022792"/>
    <w:rsid w:val="00023F4E"/>
    <w:rsid w:val="0002568E"/>
    <w:rsid w:val="000273CF"/>
    <w:rsid w:val="000276D1"/>
    <w:rsid w:val="0002774B"/>
    <w:rsid w:val="00027C2D"/>
    <w:rsid w:val="0003113B"/>
    <w:rsid w:val="00031DB8"/>
    <w:rsid w:val="00032E5A"/>
    <w:rsid w:val="00033EDB"/>
    <w:rsid w:val="000343A9"/>
    <w:rsid w:val="00034508"/>
    <w:rsid w:val="0003521B"/>
    <w:rsid w:val="00035541"/>
    <w:rsid w:val="000358AC"/>
    <w:rsid w:val="000358C3"/>
    <w:rsid w:val="00035D2A"/>
    <w:rsid w:val="00035EFB"/>
    <w:rsid w:val="000360D4"/>
    <w:rsid w:val="000363F3"/>
    <w:rsid w:val="0003660C"/>
    <w:rsid w:val="000369E8"/>
    <w:rsid w:val="00041426"/>
    <w:rsid w:val="00041C33"/>
    <w:rsid w:val="00041F39"/>
    <w:rsid w:val="000426B7"/>
    <w:rsid w:val="00042897"/>
    <w:rsid w:val="00043438"/>
    <w:rsid w:val="00043439"/>
    <w:rsid w:val="00046815"/>
    <w:rsid w:val="00047E4A"/>
    <w:rsid w:val="00050213"/>
    <w:rsid w:val="000537DF"/>
    <w:rsid w:val="000545D4"/>
    <w:rsid w:val="00054AE5"/>
    <w:rsid w:val="00054F53"/>
    <w:rsid w:val="00055517"/>
    <w:rsid w:val="00055927"/>
    <w:rsid w:val="00055A2A"/>
    <w:rsid w:val="00063553"/>
    <w:rsid w:val="00063928"/>
    <w:rsid w:val="00064008"/>
    <w:rsid w:val="00065484"/>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1B9"/>
    <w:rsid w:val="000A44ED"/>
    <w:rsid w:val="000A4917"/>
    <w:rsid w:val="000A4920"/>
    <w:rsid w:val="000A4DEB"/>
    <w:rsid w:val="000A4F0D"/>
    <w:rsid w:val="000A5028"/>
    <w:rsid w:val="000A741B"/>
    <w:rsid w:val="000A76E6"/>
    <w:rsid w:val="000B183C"/>
    <w:rsid w:val="000B3E5D"/>
    <w:rsid w:val="000B4769"/>
    <w:rsid w:val="000B5E4F"/>
    <w:rsid w:val="000C0214"/>
    <w:rsid w:val="000C0A6E"/>
    <w:rsid w:val="000C10D4"/>
    <w:rsid w:val="000C1413"/>
    <w:rsid w:val="000C1A57"/>
    <w:rsid w:val="000C272B"/>
    <w:rsid w:val="000C38DA"/>
    <w:rsid w:val="000C3FA0"/>
    <w:rsid w:val="000C40CB"/>
    <w:rsid w:val="000C483E"/>
    <w:rsid w:val="000C4E86"/>
    <w:rsid w:val="000C5C92"/>
    <w:rsid w:val="000C6687"/>
    <w:rsid w:val="000C6983"/>
    <w:rsid w:val="000D1463"/>
    <w:rsid w:val="000D190D"/>
    <w:rsid w:val="000D3894"/>
    <w:rsid w:val="000D3D3F"/>
    <w:rsid w:val="000D4E6A"/>
    <w:rsid w:val="000D66D2"/>
    <w:rsid w:val="000D70A5"/>
    <w:rsid w:val="000D7B3E"/>
    <w:rsid w:val="000E0B6C"/>
    <w:rsid w:val="000E0EA3"/>
    <w:rsid w:val="000E0EAC"/>
    <w:rsid w:val="000E2EB5"/>
    <w:rsid w:val="000E3CC9"/>
    <w:rsid w:val="000E3CDD"/>
    <w:rsid w:val="000E40EA"/>
    <w:rsid w:val="000E4F39"/>
    <w:rsid w:val="000E569A"/>
    <w:rsid w:val="000E7051"/>
    <w:rsid w:val="000E777F"/>
    <w:rsid w:val="000F02C9"/>
    <w:rsid w:val="000F0439"/>
    <w:rsid w:val="000F065D"/>
    <w:rsid w:val="000F11DF"/>
    <w:rsid w:val="000F1234"/>
    <w:rsid w:val="000F3445"/>
    <w:rsid w:val="000F4A2D"/>
    <w:rsid w:val="000F5750"/>
    <w:rsid w:val="000F69AE"/>
    <w:rsid w:val="000F7C72"/>
    <w:rsid w:val="0010199A"/>
    <w:rsid w:val="00101CBA"/>
    <w:rsid w:val="00102EDD"/>
    <w:rsid w:val="00103146"/>
    <w:rsid w:val="00103751"/>
    <w:rsid w:val="00103E33"/>
    <w:rsid w:val="00104D2E"/>
    <w:rsid w:val="00107E71"/>
    <w:rsid w:val="001121FE"/>
    <w:rsid w:val="00112F7D"/>
    <w:rsid w:val="001133CB"/>
    <w:rsid w:val="00114520"/>
    <w:rsid w:val="00117CEE"/>
    <w:rsid w:val="00117F9E"/>
    <w:rsid w:val="00120E93"/>
    <w:rsid w:val="00121128"/>
    <w:rsid w:val="001212C5"/>
    <w:rsid w:val="00121706"/>
    <w:rsid w:val="00121D46"/>
    <w:rsid w:val="0012210D"/>
    <w:rsid w:val="0012312C"/>
    <w:rsid w:val="001239AF"/>
    <w:rsid w:val="00123B97"/>
    <w:rsid w:val="001255C3"/>
    <w:rsid w:val="00125A0E"/>
    <w:rsid w:val="001260AB"/>
    <w:rsid w:val="001268C0"/>
    <w:rsid w:val="00126E6D"/>
    <w:rsid w:val="001304EA"/>
    <w:rsid w:val="00130798"/>
    <w:rsid w:val="0013121B"/>
    <w:rsid w:val="001340EC"/>
    <w:rsid w:val="0013416E"/>
    <w:rsid w:val="00134F54"/>
    <w:rsid w:val="00135C07"/>
    <w:rsid w:val="001405C2"/>
    <w:rsid w:val="0014073B"/>
    <w:rsid w:val="00140E62"/>
    <w:rsid w:val="00141A3E"/>
    <w:rsid w:val="00141DF5"/>
    <w:rsid w:val="00142158"/>
    <w:rsid w:val="0014217D"/>
    <w:rsid w:val="0014238E"/>
    <w:rsid w:val="00142F6A"/>
    <w:rsid w:val="00146187"/>
    <w:rsid w:val="00146DE3"/>
    <w:rsid w:val="0015284F"/>
    <w:rsid w:val="001537DC"/>
    <w:rsid w:val="00153EAB"/>
    <w:rsid w:val="0015606E"/>
    <w:rsid w:val="001608EC"/>
    <w:rsid w:val="00161F04"/>
    <w:rsid w:val="0016308F"/>
    <w:rsid w:val="0016339F"/>
    <w:rsid w:val="001634BD"/>
    <w:rsid w:val="0016523B"/>
    <w:rsid w:val="00166821"/>
    <w:rsid w:val="00166D1F"/>
    <w:rsid w:val="0016747A"/>
    <w:rsid w:val="00167C35"/>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5103"/>
    <w:rsid w:val="00186186"/>
    <w:rsid w:val="00186809"/>
    <w:rsid w:val="00186D5A"/>
    <w:rsid w:val="001870E2"/>
    <w:rsid w:val="001902D4"/>
    <w:rsid w:val="001907B7"/>
    <w:rsid w:val="00192051"/>
    <w:rsid w:val="0019253A"/>
    <w:rsid w:val="001930A3"/>
    <w:rsid w:val="001938AE"/>
    <w:rsid w:val="00196272"/>
    <w:rsid w:val="001975D5"/>
    <w:rsid w:val="00197DFB"/>
    <w:rsid w:val="001A14E4"/>
    <w:rsid w:val="001A1AE4"/>
    <w:rsid w:val="001A396A"/>
    <w:rsid w:val="001A3D5B"/>
    <w:rsid w:val="001A709A"/>
    <w:rsid w:val="001A7FB3"/>
    <w:rsid w:val="001B1D18"/>
    <w:rsid w:val="001B2B44"/>
    <w:rsid w:val="001B343B"/>
    <w:rsid w:val="001B4C3F"/>
    <w:rsid w:val="001B5349"/>
    <w:rsid w:val="001B64F3"/>
    <w:rsid w:val="001B6517"/>
    <w:rsid w:val="001B70FE"/>
    <w:rsid w:val="001B71F0"/>
    <w:rsid w:val="001B7A80"/>
    <w:rsid w:val="001C1C11"/>
    <w:rsid w:val="001C326F"/>
    <w:rsid w:val="001C61BA"/>
    <w:rsid w:val="001C6276"/>
    <w:rsid w:val="001C6448"/>
    <w:rsid w:val="001C67F4"/>
    <w:rsid w:val="001C6879"/>
    <w:rsid w:val="001C6A15"/>
    <w:rsid w:val="001D0767"/>
    <w:rsid w:val="001D1804"/>
    <w:rsid w:val="001D3AF2"/>
    <w:rsid w:val="001D5144"/>
    <w:rsid w:val="001D703C"/>
    <w:rsid w:val="001E01FB"/>
    <w:rsid w:val="001E0BF2"/>
    <w:rsid w:val="001E1EBA"/>
    <w:rsid w:val="001E1EE4"/>
    <w:rsid w:val="001E38D7"/>
    <w:rsid w:val="001E5187"/>
    <w:rsid w:val="001E5324"/>
    <w:rsid w:val="001E770D"/>
    <w:rsid w:val="001E777D"/>
    <w:rsid w:val="001F14A6"/>
    <w:rsid w:val="001F1B14"/>
    <w:rsid w:val="001F2A6C"/>
    <w:rsid w:val="001F31AF"/>
    <w:rsid w:val="001F6186"/>
    <w:rsid w:val="001F72AB"/>
    <w:rsid w:val="001F7FA3"/>
    <w:rsid w:val="0020093E"/>
    <w:rsid w:val="00201255"/>
    <w:rsid w:val="00201B1C"/>
    <w:rsid w:val="002021FC"/>
    <w:rsid w:val="002025C4"/>
    <w:rsid w:val="002026C2"/>
    <w:rsid w:val="00202918"/>
    <w:rsid w:val="00202B74"/>
    <w:rsid w:val="00202B95"/>
    <w:rsid w:val="00202BFA"/>
    <w:rsid w:val="002039BB"/>
    <w:rsid w:val="00205B49"/>
    <w:rsid w:val="002061A4"/>
    <w:rsid w:val="00206502"/>
    <w:rsid w:val="00206620"/>
    <w:rsid w:val="0020684D"/>
    <w:rsid w:val="002100B7"/>
    <w:rsid w:val="0021106E"/>
    <w:rsid w:val="002127E2"/>
    <w:rsid w:val="00212DD2"/>
    <w:rsid w:val="0021366B"/>
    <w:rsid w:val="00213AEF"/>
    <w:rsid w:val="00213CCF"/>
    <w:rsid w:val="00215503"/>
    <w:rsid w:val="00220668"/>
    <w:rsid w:val="00221C75"/>
    <w:rsid w:val="00221CFC"/>
    <w:rsid w:val="00222039"/>
    <w:rsid w:val="002241A2"/>
    <w:rsid w:val="00224CD8"/>
    <w:rsid w:val="00224E31"/>
    <w:rsid w:val="00224F2F"/>
    <w:rsid w:val="00225459"/>
    <w:rsid w:val="0022567F"/>
    <w:rsid w:val="002259A1"/>
    <w:rsid w:val="00230FDE"/>
    <w:rsid w:val="002311D2"/>
    <w:rsid w:val="002316B5"/>
    <w:rsid w:val="00232F0D"/>
    <w:rsid w:val="00232F6B"/>
    <w:rsid w:val="0023385E"/>
    <w:rsid w:val="00234697"/>
    <w:rsid w:val="00236AA5"/>
    <w:rsid w:val="002371DF"/>
    <w:rsid w:val="002377D8"/>
    <w:rsid w:val="00240AE0"/>
    <w:rsid w:val="00241D1F"/>
    <w:rsid w:val="0024294B"/>
    <w:rsid w:val="00245FF6"/>
    <w:rsid w:val="0024771C"/>
    <w:rsid w:val="0025135A"/>
    <w:rsid w:val="00251743"/>
    <w:rsid w:val="002542BE"/>
    <w:rsid w:val="002561A3"/>
    <w:rsid w:val="00260E82"/>
    <w:rsid w:val="00261D97"/>
    <w:rsid w:val="00261F23"/>
    <w:rsid w:val="0026423F"/>
    <w:rsid w:val="002665A1"/>
    <w:rsid w:val="00271071"/>
    <w:rsid w:val="002716B4"/>
    <w:rsid w:val="002727B6"/>
    <w:rsid w:val="00273248"/>
    <w:rsid w:val="0027556B"/>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BA3"/>
    <w:rsid w:val="00290CA3"/>
    <w:rsid w:val="00290D2E"/>
    <w:rsid w:val="002915D5"/>
    <w:rsid w:val="00293717"/>
    <w:rsid w:val="00296C28"/>
    <w:rsid w:val="00296EF8"/>
    <w:rsid w:val="002A1D02"/>
    <w:rsid w:val="002A3061"/>
    <w:rsid w:val="002A35D7"/>
    <w:rsid w:val="002A3CF5"/>
    <w:rsid w:val="002A55A7"/>
    <w:rsid w:val="002A6882"/>
    <w:rsid w:val="002A6F15"/>
    <w:rsid w:val="002A7233"/>
    <w:rsid w:val="002A7653"/>
    <w:rsid w:val="002B0B7F"/>
    <w:rsid w:val="002B16D6"/>
    <w:rsid w:val="002B325A"/>
    <w:rsid w:val="002B3FAE"/>
    <w:rsid w:val="002B6A52"/>
    <w:rsid w:val="002B70FD"/>
    <w:rsid w:val="002B71B0"/>
    <w:rsid w:val="002C06B9"/>
    <w:rsid w:val="002C19C3"/>
    <w:rsid w:val="002C1F7E"/>
    <w:rsid w:val="002C2B4F"/>
    <w:rsid w:val="002C2C11"/>
    <w:rsid w:val="002C4B87"/>
    <w:rsid w:val="002C4C0D"/>
    <w:rsid w:val="002C4EE9"/>
    <w:rsid w:val="002C500E"/>
    <w:rsid w:val="002C528A"/>
    <w:rsid w:val="002C5856"/>
    <w:rsid w:val="002C5983"/>
    <w:rsid w:val="002D0CFF"/>
    <w:rsid w:val="002D1B63"/>
    <w:rsid w:val="002D386D"/>
    <w:rsid w:val="002D3885"/>
    <w:rsid w:val="002D6240"/>
    <w:rsid w:val="002D63B9"/>
    <w:rsid w:val="002D6A6A"/>
    <w:rsid w:val="002E1989"/>
    <w:rsid w:val="002E356C"/>
    <w:rsid w:val="002E5F96"/>
    <w:rsid w:val="002E6EF3"/>
    <w:rsid w:val="002F01C0"/>
    <w:rsid w:val="002F0559"/>
    <w:rsid w:val="002F2431"/>
    <w:rsid w:val="002F277C"/>
    <w:rsid w:val="002F2C07"/>
    <w:rsid w:val="002F56B0"/>
    <w:rsid w:val="002F5814"/>
    <w:rsid w:val="002F6327"/>
    <w:rsid w:val="002F6718"/>
    <w:rsid w:val="002F747B"/>
    <w:rsid w:val="003016A8"/>
    <w:rsid w:val="003033C5"/>
    <w:rsid w:val="00304278"/>
    <w:rsid w:val="00304349"/>
    <w:rsid w:val="00305180"/>
    <w:rsid w:val="00305221"/>
    <w:rsid w:val="00305B61"/>
    <w:rsid w:val="0030629B"/>
    <w:rsid w:val="003067A5"/>
    <w:rsid w:val="0030720B"/>
    <w:rsid w:val="00307EF1"/>
    <w:rsid w:val="003101E4"/>
    <w:rsid w:val="003115D6"/>
    <w:rsid w:val="0031195E"/>
    <w:rsid w:val="00312409"/>
    <w:rsid w:val="00312F93"/>
    <w:rsid w:val="00313A5C"/>
    <w:rsid w:val="00313EBF"/>
    <w:rsid w:val="003147F7"/>
    <w:rsid w:val="0031580A"/>
    <w:rsid w:val="003160B5"/>
    <w:rsid w:val="003160B8"/>
    <w:rsid w:val="00317DA5"/>
    <w:rsid w:val="00317E8A"/>
    <w:rsid w:val="00317F3F"/>
    <w:rsid w:val="003206B9"/>
    <w:rsid w:val="00321C8E"/>
    <w:rsid w:val="00321F78"/>
    <w:rsid w:val="003223B8"/>
    <w:rsid w:val="003238A3"/>
    <w:rsid w:val="00324EF4"/>
    <w:rsid w:val="0032569B"/>
    <w:rsid w:val="003259E6"/>
    <w:rsid w:val="00330DC3"/>
    <w:rsid w:val="0033169F"/>
    <w:rsid w:val="003320F5"/>
    <w:rsid w:val="003322F1"/>
    <w:rsid w:val="0033245B"/>
    <w:rsid w:val="00333524"/>
    <w:rsid w:val="00333EE5"/>
    <w:rsid w:val="0033520C"/>
    <w:rsid w:val="00335619"/>
    <w:rsid w:val="00335EC5"/>
    <w:rsid w:val="00337720"/>
    <w:rsid w:val="00337BE9"/>
    <w:rsid w:val="00340220"/>
    <w:rsid w:val="00342F75"/>
    <w:rsid w:val="00343C58"/>
    <w:rsid w:val="00343E5C"/>
    <w:rsid w:val="00344075"/>
    <w:rsid w:val="003448BF"/>
    <w:rsid w:val="003457FC"/>
    <w:rsid w:val="00345817"/>
    <w:rsid w:val="00345DA0"/>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282B"/>
    <w:rsid w:val="003737C1"/>
    <w:rsid w:val="003738FA"/>
    <w:rsid w:val="00373B57"/>
    <w:rsid w:val="00375164"/>
    <w:rsid w:val="00375171"/>
    <w:rsid w:val="00376641"/>
    <w:rsid w:val="0037743D"/>
    <w:rsid w:val="00380F7F"/>
    <w:rsid w:val="003815C8"/>
    <w:rsid w:val="00381FD2"/>
    <w:rsid w:val="00382ED5"/>
    <w:rsid w:val="00384AB2"/>
    <w:rsid w:val="00384B36"/>
    <w:rsid w:val="00384EF7"/>
    <w:rsid w:val="003851ED"/>
    <w:rsid w:val="00387417"/>
    <w:rsid w:val="003876EC"/>
    <w:rsid w:val="003908DF"/>
    <w:rsid w:val="00390ACD"/>
    <w:rsid w:val="00392812"/>
    <w:rsid w:val="00394072"/>
    <w:rsid w:val="00394913"/>
    <w:rsid w:val="003971F9"/>
    <w:rsid w:val="003A0EA1"/>
    <w:rsid w:val="003A28D1"/>
    <w:rsid w:val="003A2B62"/>
    <w:rsid w:val="003A5FD5"/>
    <w:rsid w:val="003A7150"/>
    <w:rsid w:val="003B187F"/>
    <w:rsid w:val="003B1B3D"/>
    <w:rsid w:val="003B1D22"/>
    <w:rsid w:val="003B1F93"/>
    <w:rsid w:val="003B24FA"/>
    <w:rsid w:val="003B2B12"/>
    <w:rsid w:val="003B2D31"/>
    <w:rsid w:val="003B3A73"/>
    <w:rsid w:val="003B3E6E"/>
    <w:rsid w:val="003B4227"/>
    <w:rsid w:val="003B6137"/>
    <w:rsid w:val="003B6379"/>
    <w:rsid w:val="003B7A10"/>
    <w:rsid w:val="003C1759"/>
    <w:rsid w:val="003C198C"/>
    <w:rsid w:val="003C1AD2"/>
    <w:rsid w:val="003C234B"/>
    <w:rsid w:val="003C5260"/>
    <w:rsid w:val="003C62A3"/>
    <w:rsid w:val="003C6817"/>
    <w:rsid w:val="003C7188"/>
    <w:rsid w:val="003C7700"/>
    <w:rsid w:val="003C7C12"/>
    <w:rsid w:val="003D3417"/>
    <w:rsid w:val="003D3BDD"/>
    <w:rsid w:val="003E0076"/>
    <w:rsid w:val="003E222A"/>
    <w:rsid w:val="003E3235"/>
    <w:rsid w:val="003E3E1F"/>
    <w:rsid w:val="003E5908"/>
    <w:rsid w:val="003E653A"/>
    <w:rsid w:val="003E6746"/>
    <w:rsid w:val="003F0A0B"/>
    <w:rsid w:val="003F0C03"/>
    <w:rsid w:val="003F1E47"/>
    <w:rsid w:val="003F2165"/>
    <w:rsid w:val="003F297B"/>
    <w:rsid w:val="003F40E6"/>
    <w:rsid w:val="003F53CA"/>
    <w:rsid w:val="003F6F96"/>
    <w:rsid w:val="004000B7"/>
    <w:rsid w:val="004006AB"/>
    <w:rsid w:val="00400970"/>
    <w:rsid w:val="00401A75"/>
    <w:rsid w:val="004023F2"/>
    <w:rsid w:val="00402BD0"/>
    <w:rsid w:val="00403D28"/>
    <w:rsid w:val="004041BF"/>
    <w:rsid w:val="00405BC2"/>
    <w:rsid w:val="00405F4C"/>
    <w:rsid w:val="00407FA5"/>
    <w:rsid w:val="004100F1"/>
    <w:rsid w:val="00410332"/>
    <w:rsid w:val="00411A7A"/>
    <w:rsid w:val="00413E6D"/>
    <w:rsid w:val="0041464F"/>
    <w:rsid w:val="004149C6"/>
    <w:rsid w:val="00414A40"/>
    <w:rsid w:val="00415071"/>
    <w:rsid w:val="00417468"/>
    <w:rsid w:val="0042069D"/>
    <w:rsid w:val="0042244F"/>
    <w:rsid w:val="00424299"/>
    <w:rsid w:val="0042540F"/>
    <w:rsid w:val="00426811"/>
    <w:rsid w:val="00426C8C"/>
    <w:rsid w:val="0042748B"/>
    <w:rsid w:val="00427A49"/>
    <w:rsid w:val="004326A2"/>
    <w:rsid w:val="0043494D"/>
    <w:rsid w:val="004349F3"/>
    <w:rsid w:val="0043620A"/>
    <w:rsid w:val="0043726C"/>
    <w:rsid w:val="004377FB"/>
    <w:rsid w:val="00441495"/>
    <w:rsid w:val="00441F6B"/>
    <w:rsid w:val="00442505"/>
    <w:rsid w:val="0044319D"/>
    <w:rsid w:val="00443A27"/>
    <w:rsid w:val="00443D60"/>
    <w:rsid w:val="00444672"/>
    <w:rsid w:val="00445252"/>
    <w:rsid w:val="004453F7"/>
    <w:rsid w:val="00446310"/>
    <w:rsid w:val="00450293"/>
    <w:rsid w:val="00451196"/>
    <w:rsid w:val="00451443"/>
    <w:rsid w:val="00452826"/>
    <w:rsid w:val="00455B60"/>
    <w:rsid w:val="00455F5C"/>
    <w:rsid w:val="00456587"/>
    <w:rsid w:val="00456D26"/>
    <w:rsid w:val="00460B8C"/>
    <w:rsid w:val="00460D17"/>
    <w:rsid w:val="00461723"/>
    <w:rsid w:val="00462BE6"/>
    <w:rsid w:val="004642BE"/>
    <w:rsid w:val="00464D6F"/>
    <w:rsid w:val="004659DF"/>
    <w:rsid w:val="004673B3"/>
    <w:rsid w:val="0046752D"/>
    <w:rsid w:val="00467D8A"/>
    <w:rsid w:val="00470249"/>
    <w:rsid w:val="00471454"/>
    <w:rsid w:val="00471609"/>
    <w:rsid w:val="004720D7"/>
    <w:rsid w:val="00472CA2"/>
    <w:rsid w:val="00472CB8"/>
    <w:rsid w:val="00473126"/>
    <w:rsid w:val="0047385C"/>
    <w:rsid w:val="00474C91"/>
    <w:rsid w:val="00475C99"/>
    <w:rsid w:val="00476B57"/>
    <w:rsid w:val="004808A5"/>
    <w:rsid w:val="0048100F"/>
    <w:rsid w:val="00481ADB"/>
    <w:rsid w:val="004837F0"/>
    <w:rsid w:val="004846E8"/>
    <w:rsid w:val="00486422"/>
    <w:rsid w:val="004900BD"/>
    <w:rsid w:val="00490F76"/>
    <w:rsid w:val="00492D26"/>
    <w:rsid w:val="00493360"/>
    <w:rsid w:val="00493FCE"/>
    <w:rsid w:val="0049598A"/>
    <w:rsid w:val="004A09A7"/>
    <w:rsid w:val="004A0D5C"/>
    <w:rsid w:val="004A2103"/>
    <w:rsid w:val="004A29DD"/>
    <w:rsid w:val="004A3890"/>
    <w:rsid w:val="004A4AEE"/>
    <w:rsid w:val="004A4B48"/>
    <w:rsid w:val="004A4C21"/>
    <w:rsid w:val="004A4C3A"/>
    <w:rsid w:val="004A6FC4"/>
    <w:rsid w:val="004B0B0C"/>
    <w:rsid w:val="004B2A7E"/>
    <w:rsid w:val="004B34A3"/>
    <w:rsid w:val="004B4016"/>
    <w:rsid w:val="004B4E38"/>
    <w:rsid w:val="004B6722"/>
    <w:rsid w:val="004B7154"/>
    <w:rsid w:val="004B7276"/>
    <w:rsid w:val="004B7B0B"/>
    <w:rsid w:val="004C1531"/>
    <w:rsid w:val="004C3961"/>
    <w:rsid w:val="004C3F72"/>
    <w:rsid w:val="004C4935"/>
    <w:rsid w:val="004C5ED4"/>
    <w:rsid w:val="004C6890"/>
    <w:rsid w:val="004C742B"/>
    <w:rsid w:val="004C78BE"/>
    <w:rsid w:val="004D1B30"/>
    <w:rsid w:val="004D285C"/>
    <w:rsid w:val="004D3DF0"/>
    <w:rsid w:val="004D44A4"/>
    <w:rsid w:val="004D4992"/>
    <w:rsid w:val="004D4B92"/>
    <w:rsid w:val="004D4EEB"/>
    <w:rsid w:val="004D50CD"/>
    <w:rsid w:val="004D5CB2"/>
    <w:rsid w:val="004D6F79"/>
    <w:rsid w:val="004D7228"/>
    <w:rsid w:val="004D7275"/>
    <w:rsid w:val="004D72DC"/>
    <w:rsid w:val="004D7BAD"/>
    <w:rsid w:val="004D7FAB"/>
    <w:rsid w:val="004E17ED"/>
    <w:rsid w:val="004E3757"/>
    <w:rsid w:val="004E3F72"/>
    <w:rsid w:val="004E476A"/>
    <w:rsid w:val="004E6783"/>
    <w:rsid w:val="004E7158"/>
    <w:rsid w:val="004E7D4F"/>
    <w:rsid w:val="004F01A3"/>
    <w:rsid w:val="004F176E"/>
    <w:rsid w:val="004F20C6"/>
    <w:rsid w:val="004F2BB7"/>
    <w:rsid w:val="004F558D"/>
    <w:rsid w:val="004F5FC7"/>
    <w:rsid w:val="004F718B"/>
    <w:rsid w:val="004F76B5"/>
    <w:rsid w:val="004F7908"/>
    <w:rsid w:val="004F7C1F"/>
    <w:rsid w:val="0050186D"/>
    <w:rsid w:val="005037A4"/>
    <w:rsid w:val="00503864"/>
    <w:rsid w:val="00503C35"/>
    <w:rsid w:val="00504C0C"/>
    <w:rsid w:val="00506716"/>
    <w:rsid w:val="00506F62"/>
    <w:rsid w:val="00507BE3"/>
    <w:rsid w:val="00510117"/>
    <w:rsid w:val="00510466"/>
    <w:rsid w:val="00510C9B"/>
    <w:rsid w:val="0051124A"/>
    <w:rsid w:val="00511350"/>
    <w:rsid w:val="0051156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817"/>
    <w:rsid w:val="00536E15"/>
    <w:rsid w:val="00537FAD"/>
    <w:rsid w:val="0054021E"/>
    <w:rsid w:val="00541F1D"/>
    <w:rsid w:val="0054233B"/>
    <w:rsid w:val="005462D0"/>
    <w:rsid w:val="005467AE"/>
    <w:rsid w:val="00546AC4"/>
    <w:rsid w:val="00546E02"/>
    <w:rsid w:val="00547F42"/>
    <w:rsid w:val="00552A10"/>
    <w:rsid w:val="00552C68"/>
    <w:rsid w:val="00553B43"/>
    <w:rsid w:val="00553FB8"/>
    <w:rsid w:val="00554189"/>
    <w:rsid w:val="00556B2E"/>
    <w:rsid w:val="0055746B"/>
    <w:rsid w:val="0056188E"/>
    <w:rsid w:val="00562DE3"/>
    <w:rsid w:val="005646DE"/>
    <w:rsid w:val="00564E7E"/>
    <w:rsid w:val="00565714"/>
    <w:rsid w:val="005658E4"/>
    <w:rsid w:val="0056616E"/>
    <w:rsid w:val="00567282"/>
    <w:rsid w:val="00567D14"/>
    <w:rsid w:val="0057058F"/>
    <w:rsid w:val="005709D9"/>
    <w:rsid w:val="00570CF8"/>
    <w:rsid w:val="0057228A"/>
    <w:rsid w:val="00573992"/>
    <w:rsid w:val="005740C8"/>
    <w:rsid w:val="00574D1B"/>
    <w:rsid w:val="005779BE"/>
    <w:rsid w:val="00577F66"/>
    <w:rsid w:val="00581DAC"/>
    <w:rsid w:val="00583A98"/>
    <w:rsid w:val="00583EAB"/>
    <w:rsid w:val="005862BF"/>
    <w:rsid w:val="00586CDC"/>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3DF"/>
    <w:rsid w:val="005B7CA1"/>
    <w:rsid w:val="005C0030"/>
    <w:rsid w:val="005C0208"/>
    <w:rsid w:val="005C1464"/>
    <w:rsid w:val="005C2647"/>
    <w:rsid w:val="005C3584"/>
    <w:rsid w:val="005C3BBB"/>
    <w:rsid w:val="005C4161"/>
    <w:rsid w:val="005C41E2"/>
    <w:rsid w:val="005C519B"/>
    <w:rsid w:val="005C60B0"/>
    <w:rsid w:val="005C62C3"/>
    <w:rsid w:val="005C663F"/>
    <w:rsid w:val="005C6D82"/>
    <w:rsid w:val="005D1B88"/>
    <w:rsid w:val="005D1DD1"/>
    <w:rsid w:val="005D275F"/>
    <w:rsid w:val="005D33F7"/>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D86"/>
    <w:rsid w:val="005F5DDA"/>
    <w:rsid w:val="005F6D1F"/>
    <w:rsid w:val="005F7207"/>
    <w:rsid w:val="005F7295"/>
    <w:rsid w:val="00602811"/>
    <w:rsid w:val="00602D85"/>
    <w:rsid w:val="00603045"/>
    <w:rsid w:val="0060568C"/>
    <w:rsid w:val="006060FF"/>
    <w:rsid w:val="0060648E"/>
    <w:rsid w:val="00607640"/>
    <w:rsid w:val="0061007F"/>
    <w:rsid w:val="006102BB"/>
    <w:rsid w:val="00611A9C"/>
    <w:rsid w:val="00612488"/>
    <w:rsid w:val="00613FC0"/>
    <w:rsid w:val="0061615E"/>
    <w:rsid w:val="0061666E"/>
    <w:rsid w:val="00616B5B"/>
    <w:rsid w:val="00620BD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4738"/>
    <w:rsid w:val="0065582F"/>
    <w:rsid w:val="00657A89"/>
    <w:rsid w:val="00657C84"/>
    <w:rsid w:val="00661C33"/>
    <w:rsid w:val="00662293"/>
    <w:rsid w:val="00663438"/>
    <w:rsid w:val="00663E84"/>
    <w:rsid w:val="0066405C"/>
    <w:rsid w:val="0066492F"/>
    <w:rsid w:val="00665200"/>
    <w:rsid w:val="0066542A"/>
    <w:rsid w:val="006656AB"/>
    <w:rsid w:val="0066618D"/>
    <w:rsid w:val="00670697"/>
    <w:rsid w:val="00671ABF"/>
    <w:rsid w:val="00673450"/>
    <w:rsid w:val="00674246"/>
    <w:rsid w:val="00677238"/>
    <w:rsid w:val="00682ED3"/>
    <w:rsid w:val="0068372A"/>
    <w:rsid w:val="00686D7C"/>
    <w:rsid w:val="006903B1"/>
    <w:rsid w:val="00692AB0"/>
    <w:rsid w:val="00693C60"/>
    <w:rsid w:val="00694AA1"/>
    <w:rsid w:val="0069676E"/>
    <w:rsid w:val="00696DAE"/>
    <w:rsid w:val="006A3BC8"/>
    <w:rsid w:val="006A4895"/>
    <w:rsid w:val="006A5BA0"/>
    <w:rsid w:val="006A6451"/>
    <w:rsid w:val="006A7A52"/>
    <w:rsid w:val="006B1179"/>
    <w:rsid w:val="006B1CDA"/>
    <w:rsid w:val="006B357F"/>
    <w:rsid w:val="006B37AC"/>
    <w:rsid w:val="006B3B39"/>
    <w:rsid w:val="006B3C87"/>
    <w:rsid w:val="006B3E5D"/>
    <w:rsid w:val="006B3EDE"/>
    <w:rsid w:val="006B4CE7"/>
    <w:rsid w:val="006B5ACD"/>
    <w:rsid w:val="006B60EB"/>
    <w:rsid w:val="006B74C5"/>
    <w:rsid w:val="006B793F"/>
    <w:rsid w:val="006C037D"/>
    <w:rsid w:val="006C07F0"/>
    <w:rsid w:val="006C08F6"/>
    <w:rsid w:val="006C0A9F"/>
    <w:rsid w:val="006C1D2E"/>
    <w:rsid w:val="006C1DAA"/>
    <w:rsid w:val="006C1E29"/>
    <w:rsid w:val="006C2961"/>
    <w:rsid w:val="006C31D7"/>
    <w:rsid w:val="006C37DF"/>
    <w:rsid w:val="006C4655"/>
    <w:rsid w:val="006C4EE7"/>
    <w:rsid w:val="006C71A1"/>
    <w:rsid w:val="006C78E4"/>
    <w:rsid w:val="006D0F71"/>
    <w:rsid w:val="006D49B3"/>
    <w:rsid w:val="006D4BC3"/>
    <w:rsid w:val="006D4C50"/>
    <w:rsid w:val="006D4EA6"/>
    <w:rsid w:val="006D6EB6"/>
    <w:rsid w:val="006D741F"/>
    <w:rsid w:val="006D7799"/>
    <w:rsid w:val="006D7ED6"/>
    <w:rsid w:val="006E1F8D"/>
    <w:rsid w:val="006E3720"/>
    <w:rsid w:val="006E52F5"/>
    <w:rsid w:val="006E5DFC"/>
    <w:rsid w:val="006E7CF8"/>
    <w:rsid w:val="006F054A"/>
    <w:rsid w:val="006F0F8D"/>
    <w:rsid w:val="006F392C"/>
    <w:rsid w:val="006F520A"/>
    <w:rsid w:val="006F74B6"/>
    <w:rsid w:val="00702444"/>
    <w:rsid w:val="00702B50"/>
    <w:rsid w:val="00704041"/>
    <w:rsid w:val="00707478"/>
    <w:rsid w:val="00707F2E"/>
    <w:rsid w:val="00711ACD"/>
    <w:rsid w:val="00712C2F"/>
    <w:rsid w:val="00713228"/>
    <w:rsid w:val="00715747"/>
    <w:rsid w:val="00717041"/>
    <w:rsid w:val="00720030"/>
    <w:rsid w:val="00723EEB"/>
    <w:rsid w:val="00724052"/>
    <w:rsid w:val="00724B75"/>
    <w:rsid w:val="007253F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02D"/>
    <w:rsid w:val="00754137"/>
    <w:rsid w:val="00754AD3"/>
    <w:rsid w:val="00755CC7"/>
    <w:rsid w:val="00757027"/>
    <w:rsid w:val="007572D3"/>
    <w:rsid w:val="0076060E"/>
    <w:rsid w:val="0076146F"/>
    <w:rsid w:val="00762F8D"/>
    <w:rsid w:val="007653D0"/>
    <w:rsid w:val="007658D8"/>
    <w:rsid w:val="007659C0"/>
    <w:rsid w:val="00765E54"/>
    <w:rsid w:val="00766A1C"/>
    <w:rsid w:val="00767205"/>
    <w:rsid w:val="00767613"/>
    <w:rsid w:val="0076781B"/>
    <w:rsid w:val="00770C42"/>
    <w:rsid w:val="00771295"/>
    <w:rsid w:val="00773132"/>
    <w:rsid w:val="007743C6"/>
    <w:rsid w:val="00774F9A"/>
    <w:rsid w:val="007757AA"/>
    <w:rsid w:val="0077643C"/>
    <w:rsid w:val="00776CA5"/>
    <w:rsid w:val="007773E2"/>
    <w:rsid w:val="00780478"/>
    <w:rsid w:val="00780B5E"/>
    <w:rsid w:val="0078248B"/>
    <w:rsid w:val="0078253D"/>
    <w:rsid w:val="00783F18"/>
    <w:rsid w:val="0078416E"/>
    <w:rsid w:val="0078483D"/>
    <w:rsid w:val="0078758E"/>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1619"/>
    <w:rsid w:val="007B2554"/>
    <w:rsid w:val="007B3BAA"/>
    <w:rsid w:val="007B5D02"/>
    <w:rsid w:val="007B62CB"/>
    <w:rsid w:val="007B6B08"/>
    <w:rsid w:val="007C048A"/>
    <w:rsid w:val="007C095C"/>
    <w:rsid w:val="007C1289"/>
    <w:rsid w:val="007C402E"/>
    <w:rsid w:val="007C5F3F"/>
    <w:rsid w:val="007D06EA"/>
    <w:rsid w:val="007D07FB"/>
    <w:rsid w:val="007D0E34"/>
    <w:rsid w:val="007D2026"/>
    <w:rsid w:val="007D2C30"/>
    <w:rsid w:val="007E1727"/>
    <w:rsid w:val="007E2D76"/>
    <w:rsid w:val="007E4194"/>
    <w:rsid w:val="007E436D"/>
    <w:rsid w:val="007E4A17"/>
    <w:rsid w:val="007E55A2"/>
    <w:rsid w:val="007E6B8D"/>
    <w:rsid w:val="007F08F7"/>
    <w:rsid w:val="007F1FBA"/>
    <w:rsid w:val="007F3AF2"/>
    <w:rsid w:val="007F4328"/>
    <w:rsid w:val="007F4407"/>
    <w:rsid w:val="007F50E3"/>
    <w:rsid w:val="007F547C"/>
    <w:rsid w:val="007F57F4"/>
    <w:rsid w:val="007F754F"/>
    <w:rsid w:val="00800DAF"/>
    <w:rsid w:val="008018CF"/>
    <w:rsid w:val="008020B2"/>
    <w:rsid w:val="0080219F"/>
    <w:rsid w:val="00802DF7"/>
    <w:rsid w:val="0080319C"/>
    <w:rsid w:val="00804FDA"/>
    <w:rsid w:val="00805002"/>
    <w:rsid w:val="00805041"/>
    <w:rsid w:val="00806474"/>
    <w:rsid w:val="00806E70"/>
    <w:rsid w:val="008102D6"/>
    <w:rsid w:val="008117F8"/>
    <w:rsid w:val="0081189B"/>
    <w:rsid w:val="00811BAF"/>
    <w:rsid w:val="00813511"/>
    <w:rsid w:val="00814D58"/>
    <w:rsid w:val="008161BF"/>
    <w:rsid w:val="00816E04"/>
    <w:rsid w:val="00817969"/>
    <w:rsid w:val="00817DD6"/>
    <w:rsid w:val="00821673"/>
    <w:rsid w:val="00821C4B"/>
    <w:rsid w:val="00822AF2"/>
    <w:rsid w:val="008235CC"/>
    <w:rsid w:val="008244F8"/>
    <w:rsid w:val="008263F1"/>
    <w:rsid w:val="0082756B"/>
    <w:rsid w:val="008279D9"/>
    <w:rsid w:val="00830495"/>
    <w:rsid w:val="008304A3"/>
    <w:rsid w:val="00830DEA"/>
    <w:rsid w:val="00831C2A"/>
    <w:rsid w:val="00831F15"/>
    <w:rsid w:val="008334F6"/>
    <w:rsid w:val="008344A0"/>
    <w:rsid w:val="00840BC8"/>
    <w:rsid w:val="00840BF7"/>
    <w:rsid w:val="00840C95"/>
    <w:rsid w:val="00841267"/>
    <w:rsid w:val="00842285"/>
    <w:rsid w:val="00842886"/>
    <w:rsid w:val="00844173"/>
    <w:rsid w:val="0084580C"/>
    <w:rsid w:val="00845E6B"/>
    <w:rsid w:val="00846869"/>
    <w:rsid w:val="00846BF7"/>
    <w:rsid w:val="00846F7E"/>
    <w:rsid w:val="00851757"/>
    <w:rsid w:val="00853B7E"/>
    <w:rsid w:val="00853DE2"/>
    <w:rsid w:val="00854CE5"/>
    <w:rsid w:val="0085521A"/>
    <w:rsid w:val="008555D5"/>
    <w:rsid w:val="0085682D"/>
    <w:rsid w:val="008577D5"/>
    <w:rsid w:val="00857FC5"/>
    <w:rsid w:val="008607D6"/>
    <w:rsid w:val="00862551"/>
    <w:rsid w:val="00862C45"/>
    <w:rsid w:val="00864082"/>
    <w:rsid w:val="00864120"/>
    <w:rsid w:val="0086687B"/>
    <w:rsid w:val="0087013C"/>
    <w:rsid w:val="008730CE"/>
    <w:rsid w:val="008732AC"/>
    <w:rsid w:val="00873649"/>
    <w:rsid w:val="00873895"/>
    <w:rsid w:val="00873CDD"/>
    <w:rsid w:val="0087447A"/>
    <w:rsid w:val="00875D14"/>
    <w:rsid w:val="00875D9E"/>
    <w:rsid w:val="00876EFB"/>
    <w:rsid w:val="008776D1"/>
    <w:rsid w:val="008779D4"/>
    <w:rsid w:val="008779E7"/>
    <w:rsid w:val="008805E9"/>
    <w:rsid w:val="00880C62"/>
    <w:rsid w:val="008815EF"/>
    <w:rsid w:val="00883946"/>
    <w:rsid w:val="00884199"/>
    <w:rsid w:val="008844BB"/>
    <w:rsid w:val="0088593B"/>
    <w:rsid w:val="0088774A"/>
    <w:rsid w:val="008906C1"/>
    <w:rsid w:val="00890DEB"/>
    <w:rsid w:val="008916AE"/>
    <w:rsid w:val="00891C5E"/>
    <w:rsid w:val="00892550"/>
    <w:rsid w:val="00893530"/>
    <w:rsid w:val="008938AD"/>
    <w:rsid w:val="00893A74"/>
    <w:rsid w:val="00893AAD"/>
    <w:rsid w:val="0089557F"/>
    <w:rsid w:val="0089603A"/>
    <w:rsid w:val="0089673F"/>
    <w:rsid w:val="008A06D1"/>
    <w:rsid w:val="008A072B"/>
    <w:rsid w:val="008A160D"/>
    <w:rsid w:val="008A2FEA"/>
    <w:rsid w:val="008A4561"/>
    <w:rsid w:val="008B088A"/>
    <w:rsid w:val="008B11C7"/>
    <w:rsid w:val="008B1612"/>
    <w:rsid w:val="008B1CDB"/>
    <w:rsid w:val="008B1D7C"/>
    <w:rsid w:val="008B2092"/>
    <w:rsid w:val="008B3856"/>
    <w:rsid w:val="008B41F7"/>
    <w:rsid w:val="008B6F81"/>
    <w:rsid w:val="008B6FDF"/>
    <w:rsid w:val="008B700A"/>
    <w:rsid w:val="008B7D28"/>
    <w:rsid w:val="008B7F12"/>
    <w:rsid w:val="008C0BAF"/>
    <w:rsid w:val="008C123D"/>
    <w:rsid w:val="008C2047"/>
    <w:rsid w:val="008C2CA0"/>
    <w:rsid w:val="008C46DC"/>
    <w:rsid w:val="008C77BD"/>
    <w:rsid w:val="008D1096"/>
    <w:rsid w:val="008D1FE7"/>
    <w:rsid w:val="008D36F7"/>
    <w:rsid w:val="008D40FD"/>
    <w:rsid w:val="008D48EF"/>
    <w:rsid w:val="008E15F6"/>
    <w:rsid w:val="008E2954"/>
    <w:rsid w:val="008E3239"/>
    <w:rsid w:val="008E3289"/>
    <w:rsid w:val="008E3973"/>
    <w:rsid w:val="008E402A"/>
    <w:rsid w:val="008E618C"/>
    <w:rsid w:val="008F18B9"/>
    <w:rsid w:val="008F26E6"/>
    <w:rsid w:val="008F29D8"/>
    <w:rsid w:val="008F2BBC"/>
    <w:rsid w:val="008F480A"/>
    <w:rsid w:val="008F63EC"/>
    <w:rsid w:val="008F6DEB"/>
    <w:rsid w:val="008F739F"/>
    <w:rsid w:val="008F7DC3"/>
    <w:rsid w:val="009002E1"/>
    <w:rsid w:val="00901708"/>
    <w:rsid w:val="00901782"/>
    <w:rsid w:val="00901DA6"/>
    <w:rsid w:val="00903213"/>
    <w:rsid w:val="009036B1"/>
    <w:rsid w:val="00903E6F"/>
    <w:rsid w:val="009042BB"/>
    <w:rsid w:val="00904EB6"/>
    <w:rsid w:val="0090551D"/>
    <w:rsid w:val="009055B2"/>
    <w:rsid w:val="009060CF"/>
    <w:rsid w:val="00906927"/>
    <w:rsid w:val="00906B83"/>
    <w:rsid w:val="00907215"/>
    <w:rsid w:val="009107D0"/>
    <w:rsid w:val="009112EB"/>
    <w:rsid w:val="00911658"/>
    <w:rsid w:val="009130C6"/>
    <w:rsid w:val="00913148"/>
    <w:rsid w:val="00913BA9"/>
    <w:rsid w:val="00914447"/>
    <w:rsid w:val="009154CE"/>
    <w:rsid w:val="009154E1"/>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53A"/>
    <w:rsid w:val="00940A11"/>
    <w:rsid w:val="00942B3A"/>
    <w:rsid w:val="00946540"/>
    <w:rsid w:val="00947C83"/>
    <w:rsid w:val="009502AD"/>
    <w:rsid w:val="0095039C"/>
    <w:rsid w:val="0095156C"/>
    <w:rsid w:val="009526D8"/>
    <w:rsid w:val="00952D10"/>
    <w:rsid w:val="00953B2D"/>
    <w:rsid w:val="0095463E"/>
    <w:rsid w:val="00954FA3"/>
    <w:rsid w:val="00956902"/>
    <w:rsid w:val="0096043D"/>
    <w:rsid w:val="009604B2"/>
    <w:rsid w:val="00962069"/>
    <w:rsid w:val="00963FB8"/>
    <w:rsid w:val="009659CB"/>
    <w:rsid w:val="00965A47"/>
    <w:rsid w:val="00966B1D"/>
    <w:rsid w:val="009702BD"/>
    <w:rsid w:val="0097047A"/>
    <w:rsid w:val="00970C5A"/>
    <w:rsid w:val="00970CE2"/>
    <w:rsid w:val="0097281C"/>
    <w:rsid w:val="009735BF"/>
    <w:rsid w:val="00973F23"/>
    <w:rsid w:val="0097401E"/>
    <w:rsid w:val="00976D42"/>
    <w:rsid w:val="00980637"/>
    <w:rsid w:val="0098067F"/>
    <w:rsid w:val="00981951"/>
    <w:rsid w:val="00981C65"/>
    <w:rsid w:val="009832DC"/>
    <w:rsid w:val="00984228"/>
    <w:rsid w:val="00984EBD"/>
    <w:rsid w:val="009851CA"/>
    <w:rsid w:val="00985C57"/>
    <w:rsid w:val="009864C6"/>
    <w:rsid w:val="00986AD9"/>
    <w:rsid w:val="00990634"/>
    <w:rsid w:val="00992AC4"/>
    <w:rsid w:val="00992D80"/>
    <w:rsid w:val="00993578"/>
    <w:rsid w:val="00994DE3"/>
    <w:rsid w:val="00994E53"/>
    <w:rsid w:val="00996989"/>
    <w:rsid w:val="00997783"/>
    <w:rsid w:val="0099787F"/>
    <w:rsid w:val="009A03F3"/>
    <w:rsid w:val="009A1157"/>
    <w:rsid w:val="009A1E27"/>
    <w:rsid w:val="009A3C06"/>
    <w:rsid w:val="009A3D47"/>
    <w:rsid w:val="009B07B4"/>
    <w:rsid w:val="009B081F"/>
    <w:rsid w:val="009B19B1"/>
    <w:rsid w:val="009B2072"/>
    <w:rsid w:val="009B30EC"/>
    <w:rsid w:val="009B358D"/>
    <w:rsid w:val="009B3D40"/>
    <w:rsid w:val="009B3DCA"/>
    <w:rsid w:val="009B49C9"/>
    <w:rsid w:val="009B4DDB"/>
    <w:rsid w:val="009B639D"/>
    <w:rsid w:val="009B7C54"/>
    <w:rsid w:val="009C1CE9"/>
    <w:rsid w:val="009C24A3"/>
    <w:rsid w:val="009C2FFA"/>
    <w:rsid w:val="009C58A5"/>
    <w:rsid w:val="009D0FF8"/>
    <w:rsid w:val="009D1A4C"/>
    <w:rsid w:val="009D3089"/>
    <w:rsid w:val="009D440D"/>
    <w:rsid w:val="009D491C"/>
    <w:rsid w:val="009D5CEC"/>
    <w:rsid w:val="009D6E96"/>
    <w:rsid w:val="009E09B0"/>
    <w:rsid w:val="009E18D3"/>
    <w:rsid w:val="009E2812"/>
    <w:rsid w:val="009E4714"/>
    <w:rsid w:val="009E4AB1"/>
    <w:rsid w:val="009E4DC5"/>
    <w:rsid w:val="009E7877"/>
    <w:rsid w:val="009F0B37"/>
    <w:rsid w:val="009F1196"/>
    <w:rsid w:val="009F1C36"/>
    <w:rsid w:val="009F3888"/>
    <w:rsid w:val="009F3B35"/>
    <w:rsid w:val="009F42A6"/>
    <w:rsid w:val="009F60FA"/>
    <w:rsid w:val="009F67BB"/>
    <w:rsid w:val="009F6D51"/>
    <w:rsid w:val="009F7B59"/>
    <w:rsid w:val="009F7F91"/>
    <w:rsid w:val="00A01157"/>
    <w:rsid w:val="00A01869"/>
    <w:rsid w:val="00A02501"/>
    <w:rsid w:val="00A029DE"/>
    <w:rsid w:val="00A048D2"/>
    <w:rsid w:val="00A04DEA"/>
    <w:rsid w:val="00A07E14"/>
    <w:rsid w:val="00A10A22"/>
    <w:rsid w:val="00A10CF5"/>
    <w:rsid w:val="00A115D4"/>
    <w:rsid w:val="00A117D2"/>
    <w:rsid w:val="00A12650"/>
    <w:rsid w:val="00A12FF6"/>
    <w:rsid w:val="00A1534D"/>
    <w:rsid w:val="00A16261"/>
    <w:rsid w:val="00A167A6"/>
    <w:rsid w:val="00A16C59"/>
    <w:rsid w:val="00A1712B"/>
    <w:rsid w:val="00A175D9"/>
    <w:rsid w:val="00A206D3"/>
    <w:rsid w:val="00A21D10"/>
    <w:rsid w:val="00A21D86"/>
    <w:rsid w:val="00A21FCB"/>
    <w:rsid w:val="00A22693"/>
    <w:rsid w:val="00A22B3B"/>
    <w:rsid w:val="00A236F4"/>
    <w:rsid w:val="00A24042"/>
    <w:rsid w:val="00A24D03"/>
    <w:rsid w:val="00A30362"/>
    <w:rsid w:val="00A30E21"/>
    <w:rsid w:val="00A33783"/>
    <w:rsid w:val="00A337D6"/>
    <w:rsid w:val="00A347D8"/>
    <w:rsid w:val="00A3591E"/>
    <w:rsid w:val="00A35E09"/>
    <w:rsid w:val="00A36621"/>
    <w:rsid w:val="00A36923"/>
    <w:rsid w:val="00A372A5"/>
    <w:rsid w:val="00A375AE"/>
    <w:rsid w:val="00A37F33"/>
    <w:rsid w:val="00A40F5D"/>
    <w:rsid w:val="00A40F87"/>
    <w:rsid w:val="00A41FEC"/>
    <w:rsid w:val="00A433A8"/>
    <w:rsid w:val="00A43961"/>
    <w:rsid w:val="00A460F3"/>
    <w:rsid w:val="00A463F7"/>
    <w:rsid w:val="00A47694"/>
    <w:rsid w:val="00A47E7E"/>
    <w:rsid w:val="00A511A9"/>
    <w:rsid w:val="00A5154C"/>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E09"/>
    <w:rsid w:val="00A76383"/>
    <w:rsid w:val="00A76CDC"/>
    <w:rsid w:val="00A772E6"/>
    <w:rsid w:val="00A804B1"/>
    <w:rsid w:val="00A8291E"/>
    <w:rsid w:val="00A8412B"/>
    <w:rsid w:val="00A84996"/>
    <w:rsid w:val="00A84B3C"/>
    <w:rsid w:val="00A862EB"/>
    <w:rsid w:val="00A91AB4"/>
    <w:rsid w:val="00A92765"/>
    <w:rsid w:val="00A929CF"/>
    <w:rsid w:val="00A92FE4"/>
    <w:rsid w:val="00A93B50"/>
    <w:rsid w:val="00A95D41"/>
    <w:rsid w:val="00A9646E"/>
    <w:rsid w:val="00A96D82"/>
    <w:rsid w:val="00A96ECA"/>
    <w:rsid w:val="00A97810"/>
    <w:rsid w:val="00A97EB2"/>
    <w:rsid w:val="00AA07A5"/>
    <w:rsid w:val="00AA0FDB"/>
    <w:rsid w:val="00AA1F7A"/>
    <w:rsid w:val="00AA3923"/>
    <w:rsid w:val="00AA39A4"/>
    <w:rsid w:val="00AA3AE4"/>
    <w:rsid w:val="00AA4641"/>
    <w:rsid w:val="00AA6879"/>
    <w:rsid w:val="00AB1C7C"/>
    <w:rsid w:val="00AB1E44"/>
    <w:rsid w:val="00AB36AC"/>
    <w:rsid w:val="00AB5D79"/>
    <w:rsid w:val="00AB7DD0"/>
    <w:rsid w:val="00AC1498"/>
    <w:rsid w:val="00AC1E6E"/>
    <w:rsid w:val="00AC2394"/>
    <w:rsid w:val="00AC32ED"/>
    <w:rsid w:val="00AC3440"/>
    <w:rsid w:val="00AC346B"/>
    <w:rsid w:val="00AC3A86"/>
    <w:rsid w:val="00AC5B93"/>
    <w:rsid w:val="00AC6CEF"/>
    <w:rsid w:val="00AC6FAE"/>
    <w:rsid w:val="00AC72E7"/>
    <w:rsid w:val="00AC7A67"/>
    <w:rsid w:val="00AC7DFE"/>
    <w:rsid w:val="00AD0915"/>
    <w:rsid w:val="00AD0BC0"/>
    <w:rsid w:val="00AD0E13"/>
    <w:rsid w:val="00AD1B7A"/>
    <w:rsid w:val="00AD1BD0"/>
    <w:rsid w:val="00AD1D7F"/>
    <w:rsid w:val="00AD5370"/>
    <w:rsid w:val="00AD5E69"/>
    <w:rsid w:val="00AD619E"/>
    <w:rsid w:val="00AD6479"/>
    <w:rsid w:val="00AD78BC"/>
    <w:rsid w:val="00AE0C7B"/>
    <w:rsid w:val="00AE18FC"/>
    <w:rsid w:val="00AE2366"/>
    <w:rsid w:val="00AE25D6"/>
    <w:rsid w:val="00AE2AB9"/>
    <w:rsid w:val="00AE3417"/>
    <w:rsid w:val="00AE3736"/>
    <w:rsid w:val="00AE40D1"/>
    <w:rsid w:val="00AE6395"/>
    <w:rsid w:val="00AE72D3"/>
    <w:rsid w:val="00AE7489"/>
    <w:rsid w:val="00AE7560"/>
    <w:rsid w:val="00AF113C"/>
    <w:rsid w:val="00AF1E49"/>
    <w:rsid w:val="00AF33CC"/>
    <w:rsid w:val="00AF3C6B"/>
    <w:rsid w:val="00AF464A"/>
    <w:rsid w:val="00AF4D11"/>
    <w:rsid w:val="00AF60A7"/>
    <w:rsid w:val="00AF6BE9"/>
    <w:rsid w:val="00AF79C9"/>
    <w:rsid w:val="00B00F21"/>
    <w:rsid w:val="00B027E9"/>
    <w:rsid w:val="00B03D8D"/>
    <w:rsid w:val="00B0437E"/>
    <w:rsid w:val="00B046EF"/>
    <w:rsid w:val="00B04BA9"/>
    <w:rsid w:val="00B068ED"/>
    <w:rsid w:val="00B07992"/>
    <w:rsid w:val="00B07C09"/>
    <w:rsid w:val="00B1094A"/>
    <w:rsid w:val="00B10F35"/>
    <w:rsid w:val="00B131E7"/>
    <w:rsid w:val="00B132A1"/>
    <w:rsid w:val="00B13A35"/>
    <w:rsid w:val="00B140DF"/>
    <w:rsid w:val="00B14FC8"/>
    <w:rsid w:val="00B15248"/>
    <w:rsid w:val="00B15EDD"/>
    <w:rsid w:val="00B15FD4"/>
    <w:rsid w:val="00B208CA"/>
    <w:rsid w:val="00B21669"/>
    <w:rsid w:val="00B22E70"/>
    <w:rsid w:val="00B236CD"/>
    <w:rsid w:val="00B2428B"/>
    <w:rsid w:val="00B24850"/>
    <w:rsid w:val="00B249DE"/>
    <w:rsid w:val="00B24E73"/>
    <w:rsid w:val="00B255D5"/>
    <w:rsid w:val="00B25D65"/>
    <w:rsid w:val="00B26721"/>
    <w:rsid w:val="00B272E5"/>
    <w:rsid w:val="00B27BFD"/>
    <w:rsid w:val="00B31157"/>
    <w:rsid w:val="00B32A6B"/>
    <w:rsid w:val="00B32CC5"/>
    <w:rsid w:val="00B333A2"/>
    <w:rsid w:val="00B362FA"/>
    <w:rsid w:val="00B37944"/>
    <w:rsid w:val="00B37DE0"/>
    <w:rsid w:val="00B40C98"/>
    <w:rsid w:val="00B43F87"/>
    <w:rsid w:val="00B4422C"/>
    <w:rsid w:val="00B45B93"/>
    <w:rsid w:val="00B5045F"/>
    <w:rsid w:val="00B5054F"/>
    <w:rsid w:val="00B50B55"/>
    <w:rsid w:val="00B519BB"/>
    <w:rsid w:val="00B53970"/>
    <w:rsid w:val="00B53A9E"/>
    <w:rsid w:val="00B54A24"/>
    <w:rsid w:val="00B57BF4"/>
    <w:rsid w:val="00B612F6"/>
    <w:rsid w:val="00B62826"/>
    <w:rsid w:val="00B64A52"/>
    <w:rsid w:val="00B65272"/>
    <w:rsid w:val="00B67382"/>
    <w:rsid w:val="00B7019C"/>
    <w:rsid w:val="00B70E28"/>
    <w:rsid w:val="00B719C0"/>
    <w:rsid w:val="00B71AFE"/>
    <w:rsid w:val="00B71F27"/>
    <w:rsid w:val="00B71FDC"/>
    <w:rsid w:val="00B72482"/>
    <w:rsid w:val="00B73016"/>
    <w:rsid w:val="00B735BC"/>
    <w:rsid w:val="00B75BE9"/>
    <w:rsid w:val="00B7770E"/>
    <w:rsid w:val="00B77F50"/>
    <w:rsid w:val="00B80050"/>
    <w:rsid w:val="00B80D86"/>
    <w:rsid w:val="00B81050"/>
    <w:rsid w:val="00B810C0"/>
    <w:rsid w:val="00B81437"/>
    <w:rsid w:val="00B82DA0"/>
    <w:rsid w:val="00B8423F"/>
    <w:rsid w:val="00B84811"/>
    <w:rsid w:val="00B85E02"/>
    <w:rsid w:val="00B86D76"/>
    <w:rsid w:val="00B87BA3"/>
    <w:rsid w:val="00B90739"/>
    <w:rsid w:val="00B90A34"/>
    <w:rsid w:val="00B90FBB"/>
    <w:rsid w:val="00B93D3E"/>
    <w:rsid w:val="00B94DF6"/>
    <w:rsid w:val="00B979E2"/>
    <w:rsid w:val="00BA05FE"/>
    <w:rsid w:val="00BA061F"/>
    <w:rsid w:val="00BA0699"/>
    <w:rsid w:val="00BA08D8"/>
    <w:rsid w:val="00BA0E26"/>
    <w:rsid w:val="00BA134C"/>
    <w:rsid w:val="00BA2B9C"/>
    <w:rsid w:val="00BA34E3"/>
    <w:rsid w:val="00BA5305"/>
    <w:rsid w:val="00BA56D5"/>
    <w:rsid w:val="00BA5E11"/>
    <w:rsid w:val="00BB142C"/>
    <w:rsid w:val="00BB26C1"/>
    <w:rsid w:val="00BB3665"/>
    <w:rsid w:val="00BB3F91"/>
    <w:rsid w:val="00BB45EB"/>
    <w:rsid w:val="00BB71BA"/>
    <w:rsid w:val="00BC056E"/>
    <w:rsid w:val="00BC1680"/>
    <w:rsid w:val="00BC1F09"/>
    <w:rsid w:val="00BC4638"/>
    <w:rsid w:val="00BC55CF"/>
    <w:rsid w:val="00BC57E3"/>
    <w:rsid w:val="00BC5B12"/>
    <w:rsid w:val="00BC5E57"/>
    <w:rsid w:val="00BC6992"/>
    <w:rsid w:val="00BD0809"/>
    <w:rsid w:val="00BD2B0C"/>
    <w:rsid w:val="00BD2FEF"/>
    <w:rsid w:val="00BD4C21"/>
    <w:rsid w:val="00BE0EA6"/>
    <w:rsid w:val="00BE0F48"/>
    <w:rsid w:val="00BE1ACA"/>
    <w:rsid w:val="00BE1F82"/>
    <w:rsid w:val="00BE2518"/>
    <w:rsid w:val="00BE2FAC"/>
    <w:rsid w:val="00BE523F"/>
    <w:rsid w:val="00BE62E2"/>
    <w:rsid w:val="00BE63AC"/>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3459"/>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436"/>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1D84"/>
    <w:rsid w:val="00C42A5E"/>
    <w:rsid w:val="00C4309C"/>
    <w:rsid w:val="00C442E1"/>
    <w:rsid w:val="00C452A5"/>
    <w:rsid w:val="00C454BF"/>
    <w:rsid w:val="00C4607B"/>
    <w:rsid w:val="00C47367"/>
    <w:rsid w:val="00C47445"/>
    <w:rsid w:val="00C47945"/>
    <w:rsid w:val="00C50773"/>
    <w:rsid w:val="00C54CA8"/>
    <w:rsid w:val="00C57882"/>
    <w:rsid w:val="00C61939"/>
    <w:rsid w:val="00C6221B"/>
    <w:rsid w:val="00C62B01"/>
    <w:rsid w:val="00C6368C"/>
    <w:rsid w:val="00C64B3F"/>
    <w:rsid w:val="00C65FB3"/>
    <w:rsid w:val="00C66023"/>
    <w:rsid w:val="00C66BCE"/>
    <w:rsid w:val="00C66E7B"/>
    <w:rsid w:val="00C70CC7"/>
    <w:rsid w:val="00C717BE"/>
    <w:rsid w:val="00C730AC"/>
    <w:rsid w:val="00C75655"/>
    <w:rsid w:val="00C75D03"/>
    <w:rsid w:val="00C76BB7"/>
    <w:rsid w:val="00C777AB"/>
    <w:rsid w:val="00C80C74"/>
    <w:rsid w:val="00C80E6B"/>
    <w:rsid w:val="00C81640"/>
    <w:rsid w:val="00C81659"/>
    <w:rsid w:val="00C81C9A"/>
    <w:rsid w:val="00C84A1D"/>
    <w:rsid w:val="00C8558B"/>
    <w:rsid w:val="00C85F0E"/>
    <w:rsid w:val="00C86049"/>
    <w:rsid w:val="00C86894"/>
    <w:rsid w:val="00C87210"/>
    <w:rsid w:val="00C87577"/>
    <w:rsid w:val="00C90076"/>
    <w:rsid w:val="00C90D9D"/>
    <w:rsid w:val="00C94AFC"/>
    <w:rsid w:val="00C9516D"/>
    <w:rsid w:val="00C96EC7"/>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590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42D"/>
    <w:rsid w:val="00D1329C"/>
    <w:rsid w:val="00D14AE6"/>
    <w:rsid w:val="00D1543B"/>
    <w:rsid w:val="00D15628"/>
    <w:rsid w:val="00D158CB"/>
    <w:rsid w:val="00D161F7"/>
    <w:rsid w:val="00D20F53"/>
    <w:rsid w:val="00D2105F"/>
    <w:rsid w:val="00D21442"/>
    <w:rsid w:val="00D22303"/>
    <w:rsid w:val="00D229F5"/>
    <w:rsid w:val="00D22E61"/>
    <w:rsid w:val="00D2538A"/>
    <w:rsid w:val="00D26E6C"/>
    <w:rsid w:val="00D322DC"/>
    <w:rsid w:val="00D32D7E"/>
    <w:rsid w:val="00D35CDB"/>
    <w:rsid w:val="00D35FA7"/>
    <w:rsid w:val="00D3605F"/>
    <w:rsid w:val="00D367ED"/>
    <w:rsid w:val="00D4169F"/>
    <w:rsid w:val="00D41D99"/>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0BC"/>
    <w:rsid w:val="00D642C3"/>
    <w:rsid w:val="00D65430"/>
    <w:rsid w:val="00D7067D"/>
    <w:rsid w:val="00D71C7A"/>
    <w:rsid w:val="00D73D0E"/>
    <w:rsid w:val="00D7434C"/>
    <w:rsid w:val="00D75DDA"/>
    <w:rsid w:val="00D76174"/>
    <w:rsid w:val="00D767F1"/>
    <w:rsid w:val="00D76B22"/>
    <w:rsid w:val="00D76EB9"/>
    <w:rsid w:val="00D830A3"/>
    <w:rsid w:val="00D83B83"/>
    <w:rsid w:val="00D8697A"/>
    <w:rsid w:val="00D86E9B"/>
    <w:rsid w:val="00D91753"/>
    <w:rsid w:val="00D92A49"/>
    <w:rsid w:val="00D93E73"/>
    <w:rsid w:val="00D93FFC"/>
    <w:rsid w:val="00D95858"/>
    <w:rsid w:val="00D96680"/>
    <w:rsid w:val="00D96BC2"/>
    <w:rsid w:val="00D9783B"/>
    <w:rsid w:val="00DA02F7"/>
    <w:rsid w:val="00DA19F8"/>
    <w:rsid w:val="00DA3056"/>
    <w:rsid w:val="00DA3E2F"/>
    <w:rsid w:val="00DA450A"/>
    <w:rsid w:val="00DA4570"/>
    <w:rsid w:val="00DA5BEF"/>
    <w:rsid w:val="00DA617D"/>
    <w:rsid w:val="00DA64EA"/>
    <w:rsid w:val="00DB03F4"/>
    <w:rsid w:val="00DB1743"/>
    <w:rsid w:val="00DB1DA1"/>
    <w:rsid w:val="00DB55A5"/>
    <w:rsid w:val="00DB6A07"/>
    <w:rsid w:val="00DB7F35"/>
    <w:rsid w:val="00DC0BB6"/>
    <w:rsid w:val="00DC1E85"/>
    <w:rsid w:val="00DC40B4"/>
    <w:rsid w:val="00DC547A"/>
    <w:rsid w:val="00DC59A4"/>
    <w:rsid w:val="00DC743D"/>
    <w:rsid w:val="00DD117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11AC"/>
    <w:rsid w:val="00DF2DFB"/>
    <w:rsid w:val="00DF2EC7"/>
    <w:rsid w:val="00DF45DB"/>
    <w:rsid w:val="00DF5714"/>
    <w:rsid w:val="00DF5ABC"/>
    <w:rsid w:val="00DF5BDE"/>
    <w:rsid w:val="00E015A9"/>
    <w:rsid w:val="00E0234B"/>
    <w:rsid w:val="00E023FC"/>
    <w:rsid w:val="00E02BC1"/>
    <w:rsid w:val="00E02E9A"/>
    <w:rsid w:val="00E06F7D"/>
    <w:rsid w:val="00E10829"/>
    <w:rsid w:val="00E10B0A"/>
    <w:rsid w:val="00E10FFF"/>
    <w:rsid w:val="00E1171F"/>
    <w:rsid w:val="00E12749"/>
    <w:rsid w:val="00E134CE"/>
    <w:rsid w:val="00E13CFD"/>
    <w:rsid w:val="00E14F52"/>
    <w:rsid w:val="00E17431"/>
    <w:rsid w:val="00E20836"/>
    <w:rsid w:val="00E209F0"/>
    <w:rsid w:val="00E20DA0"/>
    <w:rsid w:val="00E222AF"/>
    <w:rsid w:val="00E25395"/>
    <w:rsid w:val="00E25DA4"/>
    <w:rsid w:val="00E32BD6"/>
    <w:rsid w:val="00E33737"/>
    <w:rsid w:val="00E34AC7"/>
    <w:rsid w:val="00E34EFA"/>
    <w:rsid w:val="00E3756A"/>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588"/>
    <w:rsid w:val="00E5261E"/>
    <w:rsid w:val="00E52A38"/>
    <w:rsid w:val="00E53066"/>
    <w:rsid w:val="00E53BCA"/>
    <w:rsid w:val="00E53DB6"/>
    <w:rsid w:val="00E54029"/>
    <w:rsid w:val="00E546F4"/>
    <w:rsid w:val="00E564E4"/>
    <w:rsid w:val="00E57F84"/>
    <w:rsid w:val="00E60FA8"/>
    <w:rsid w:val="00E61910"/>
    <w:rsid w:val="00E61D8E"/>
    <w:rsid w:val="00E64186"/>
    <w:rsid w:val="00E6576C"/>
    <w:rsid w:val="00E65D61"/>
    <w:rsid w:val="00E66D29"/>
    <w:rsid w:val="00E67426"/>
    <w:rsid w:val="00E6770C"/>
    <w:rsid w:val="00E67D6C"/>
    <w:rsid w:val="00E708C5"/>
    <w:rsid w:val="00E70E1C"/>
    <w:rsid w:val="00E71A5E"/>
    <w:rsid w:val="00E73062"/>
    <w:rsid w:val="00E745B2"/>
    <w:rsid w:val="00E74EE2"/>
    <w:rsid w:val="00E778C4"/>
    <w:rsid w:val="00E81322"/>
    <w:rsid w:val="00E83429"/>
    <w:rsid w:val="00E8468C"/>
    <w:rsid w:val="00E85F40"/>
    <w:rsid w:val="00E90651"/>
    <w:rsid w:val="00E90D6F"/>
    <w:rsid w:val="00E91657"/>
    <w:rsid w:val="00E91AE2"/>
    <w:rsid w:val="00E922D9"/>
    <w:rsid w:val="00E9237E"/>
    <w:rsid w:val="00E9371A"/>
    <w:rsid w:val="00E93BF4"/>
    <w:rsid w:val="00EA136B"/>
    <w:rsid w:val="00EA2D35"/>
    <w:rsid w:val="00EA34BD"/>
    <w:rsid w:val="00EA4238"/>
    <w:rsid w:val="00EA506D"/>
    <w:rsid w:val="00EB08D0"/>
    <w:rsid w:val="00EB0C51"/>
    <w:rsid w:val="00EB5D16"/>
    <w:rsid w:val="00EB6186"/>
    <w:rsid w:val="00EC0FCD"/>
    <w:rsid w:val="00EC30A9"/>
    <w:rsid w:val="00EC3C6B"/>
    <w:rsid w:val="00EC480A"/>
    <w:rsid w:val="00EC7C57"/>
    <w:rsid w:val="00ED0080"/>
    <w:rsid w:val="00ED12C1"/>
    <w:rsid w:val="00ED34A9"/>
    <w:rsid w:val="00ED58EE"/>
    <w:rsid w:val="00ED7B01"/>
    <w:rsid w:val="00EE2D15"/>
    <w:rsid w:val="00EE419B"/>
    <w:rsid w:val="00EE4958"/>
    <w:rsid w:val="00EE54DD"/>
    <w:rsid w:val="00EE620C"/>
    <w:rsid w:val="00EE7226"/>
    <w:rsid w:val="00EE73C4"/>
    <w:rsid w:val="00EE7E23"/>
    <w:rsid w:val="00EF066A"/>
    <w:rsid w:val="00EF0BC8"/>
    <w:rsid w:val="00EF0D66"/>
    <w:rsid w:val="00EF1014"/>
    <w:rsid w:val="00EF1918"/>
    <w:rsid w:val="00EF35D6"/>
    <w:rsid w:val="00EF3E5B"/>
    <w:rsid w:val="00EF4125"/>
    <w:rsid w:val="00EF4456"/>
    <w:rsid w:val="00EF627E"/>
    <w:rsid w:val="00EF6370"/>
    <w:rsid w:val="00EF7672"/>
    <w:rsid w:val="00EF7AA2"/>
    <w:rsid w:val="00EF7FD3"/>
    <w:rsid w:val="00F00807"/>
    <w:rsid w:val="00F014B7"/>
    <w:rsid w:val="00F01AF4"/>
    <w:rsid w:val="00F02610"/>
    <w:rsid w:val="00F03914"/>
    <w:rsid w:val="00F03AAC"/>
    <w:rsid w:val="00F04BF6"/>
    <w:rsid w:val="00F0638F"/>
    <w:rsid w:val="00F066A6"/>
    <w:rsid w:val="00F1441D"/>
    <w:rsid w:val="00F152CB"/>
    <w:rsid w:val="00F15C8C"/>
    <w:rsid w:val="00F16A45"/>
    <w:rsid w:val="00F16CC7"/>
    <w:rsid w:val="00F20802"/>
    <w:rsid w:val="00F2111F"/>
    <w:rsid w:val="00F21DFA"/>
    <w:rsid w:val="00F230AA"/>
    <w:rsid w:val="00F238AD"/>
    <w:rsid w:val="00F23FFD"/>
    <w:rsid w:val="00F24350"/>
    <w:rsid w:val="00F25E5D"/>
    <w:rsid w:val="00F30525"/>
    <w:rsid w:val="00F30DDD"/>
    <w:rsid w:val="00F31761"/>
    <w:rsid w:val="00F322F4"/>
    <w:rsid w:val="00F32DB7"/>
    <w:rsid w:val="00F33B00"/>
    <w:rsid w:val="00F357CE"/>
    <w:rsid w:val="00F35B23"/>
    <w:rsid w:val="00F35DFC"/>
    <w:rsid w:val="00F378AF"/>
    <w:rsid w:val="00F37DCA"/>
    <w:rsid w:val="00F415D5"/>
    <w:rsid w:val="00F417BA"/>
    <w:rsid w:val="00F42290"/>
    <w:rsid w:val="00F42535"/>
    <w:rsid w:val="00F43179"/>
    <w:rsid w:val="00F433A9"/>
    <w:rsid w:val="00F47954"/>
    <w:rsid w:val="00F5022B"/>
    <w:rsid w:val="00F512FB"/>
    <w:rsid w:val="00F516DF"/>
    <w:rsid w:val="00F5176F"/>
    <w:rsid w:val="00F51AB4"/>
    <w:rsid w:val="00F53346"/>
    <w:rsid w:val="00F53413"/>
    <w:rsid w:val="00F53982"/>
    <w:rsid w:val="00F547AB"/>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676E5"/>
    <w:rsid w:val="00F709C9"/>
    <w:rsid w:val="00F71AA5"/>
    <w:rsid w:val="00F729B5"/>
    <w:rsid w:val="00F73215"/>
    <w:rsid w:val="00F7609E"/>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9FC"/>
    <w:rsid w:val="00FA3FB2"/>
    <w:rsid w:val="00FA4AC3"/>
    <w:rsid w:val="00FA4B63"/>
    <w:rsid w:val="00FA4DBD"/>
    <w:rsid w:val="00FA640F"/>
    <w:rsid w:val="00FA67F5"/>
    <w:rsid w:val="00FB207D"/>
    <w:rsid w:val="00FB2403"/>
    <w:rsid w:val="00FB28A8"/>
    <w:rsid w:val="00FB5BE5"/>
    <w:rsid w:val="00FB660E"/>
    <w:rsid w:val="00FB7831"/>
    <w:rsid w:val="00FC109A"/>
    <w:rsid w:val="00FC17B0"/>
    <w:rsid w:val="00FC1830"/>
    <w:rsid w:val="00FC221C"/>
    <w:rsid w:val="00FC4273"/>
    <w:rsid w:val="00FC4FB1"/>
    <w:rsid w:val="00FC542D"/>
    <w:rsid w:val="00FC7355"/>
    <w:rsid w:val="00FD13E1"/>
    <w:rsid w:val="00FD1CAC"/>
    <w:rsid w:val="00FD247B"/>
    <w:rsid w:val="00FD2548"/>
    <w:rsid w:val="00FD71E9"/>
    <w:rsid w:val="00FE1060"/>
    <w:rsid w:val="00FE51D8"/>
    <w:rsid w:val="00FE5618"/>
    <w:rsid w:val="00FE59A7"/>
    <w:rsid w:val="00FE7675"/>
    <w:rsid w:val="00FE7677"/>
    <w:rsid w:val="00FE7BB4"/>
    <w:rsid w:val="00FF03BB"/>
    <w:rsid w:val="00FF2539"/>
    <w:rsid w:val="00FF2E41"/>
    <w:rsid w:val="00FF3D2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BA" w:eastAsia="sr-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 w:type="paragraph" w:customStyle="1" w:styleId="Stil1">
    <w:name w:val="Stil 1"/>
    <w:basedOn w:val="Normal"/>
    <w:qFormat/>
    <w:rsid w:val="00321C8E"/>
    <w:pPr>
      <w:numPr>
        <w:numId w:val="45"/>
      </w:numPr>
      <w:spacing w:before="60" w:after="60"/>
    </w:pPr>
    <w:rPr>
      <w:rFonts w:ascii="Trebuchet MS" w:eastAsia="Arial Unicode MS" w:hAnsi="Trebuchet MS" w:cs="Arial"/>
      <w:b/>
      <w:bCs/>
      <w:sz w:val="20"/>
      <w:lang w:val="hr-HR" w:eastAsia="hr-HR"/>
    </w:rPr>
  </w:style>
  <w:style w:type="character" w:customStyle="1" w:styleId="Heading1Char">
    <w:name w:val="Heading 1 Char"/>
    <w:basedOn w:val="DefaultParagraphFont"/>
    <w:link w:val="Heading1"/>
    <w:rsid w:val="00E52588"/>
    <w:rPr>
      <w:rFonts w:ascii="Times Cirilica" w:hAnsi="Times Cirilica"/>
      <w:b/>
      <w:smallCaps/>
      <w:sz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BA" w:eastAsia="sr-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 w:type="paragraph" w:customStyle="1" w:styleId="Stil1">
    <w:name w:val="Stil 1"/>
    <w:basedOn w:val="Normal"/>
    <w:qFormat/>
    <w:rsid w:val="00321C8E"/>
    <w:pPr>
      <w:numPr>
        <w:numId w:val="45"/>
      </w:numPr>
      <w:spacing w:before="60" w:after="60"/>
    </w:pPr>
    <w:rPr>
      <w:rFonts w:ascii="Trebuchet MS" w:eastAsia="Arial Unicode MS" w:hAnsi="Trebuchet MS" w:cs="Arial"/>
      <w:b/>
      <w:bCs/>
      <w:sz w:val="20"/>
      <w:lang w:val="hr-HR" w:eastAsia="hr-HR"/>
    </w:rPr>
  </w:style>
  <w:style w:type="character" w:customStyle="1" w:styleId="Heading1Char">
    <w:name w:val="Heading 1 Char"/>
    <w:basedOn w:val="DefaultParagraphFont"/>
    <w:link w:val="Heading1"/>
    <w:rsid w:val="00E52588"/>
    <w:rPr>
      <w:rFonts w:ascii="Times Cirilica" w:hAnsi="Times Cirilica"/>
      <w:b/>
      <w:smallCaps/>
      <w:sz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40309813">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858540596">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6B709-CD29-47E0-B462-C62FD5ECE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25</Pages>
  <Words>7194</Words>
  <Characters>46944</Characters>
  <Application>Microsoft Office Word</Application>
  <DocSecurity>0</DocSecurity>
  <Lines>391</Lines>
  <Paragraphs>108</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54030</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Persa DUJAKOVIC</cp:lastModifiedBy>
  <cp:revision>30</cp:revision>
  <cp:lastPrinted>2020-10-16T07:03:00Z</cp:lastPrinted>
  <dcterms:created xsi:type="dcterms:W3CDTF">2021-04-07T12:54:00Z</dcterms:created>
  <dcterms:modified xsi:type="dcterms:W3CDTF">2021-07-21T07:09:00Z</dcterms:modified>
</cp:coreProperties>
</file>